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2" w:rsidRDefault="00ED7382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D7382" w:rsidRDefault="00ED7382">
      <w:pPr>
        <w:pStyle w:val="newncpi"/>
        <w:ind w:firstLine="0"/>
        <w:jc w:val="center"/>
      </w:pPr>
      <w:r>
        <w:rPr>
          <w:rStyle w:val="datepr"/>
        </w:rPr>
        <w:t>4 марта 2024 г.</w:t>
      </w:r>
      <w:r>
        <w:rPr>
          <w:rStyle w:val="number"/>
        </w:rPr>
        <w:t xml:space="preserve"> № 77</w:t>
      </w:r>
    </w:p>
    <w:p w:rsidR="00ED7382" w:rsidRDefault="00ED7382">
      <w:pPr>
        <w:pStyle w:val="titlencpi"/>
      </w:pPr>
      <w:r>
        <w:t>Об освобождении от налога на добавленную стоимость</w:t>
      </w:r>
    </w:p>
    <w:p w:rsidR="00ED7382" w:rsidRDefault="00ED7382">
      <w:pPr>
        <w:pStyle w:val="newncpi"/>
      </w:pPr>
      <w:r>
        <w:t>В целях стимулирования модернизации производств и повышения конкурентосп</w:t>
      </w:r>
      <w:r>
        <w:t>о</w:t>
      </w:r>
      <w:r>
        <w:t>собности экономики:</w:t>
      </w:r>
    </w:p>
    <w:p w:rsidR="00ED7382" w:rsidRDefault="00ED7382">
      <w:pPr>
        <w:pStyle w:val="point"/>
      </w:pPr>
      <w:r>
        <w:t>1. Установить, что при ввозе на территорию Республики Беларусь освобождаются от налога на добавленную стоимость технологическое оборудование, комплектующие и запасные части к нему, включенные в перечень технологического оборудования, ко</w:t>
      </w:r>
      <w:r>
        <w:t>м</w:t>
      </w:r>
      <w:r>
        <w:t>плектующих и запасных частей к нему, определяемый Советом Министров Республики Беларусь, аналоги которых не производятся в Республике Беларусь.</w:t>
      </w:r>
    </w:p>
    <w:p w:rsidR="00ED7382" w:rsidRDefault="00ED7382">
      <w:pPr>
        <w:pStyle w:val="newncpi"/>
      </w:pPr>
      <w:proofErr w:type="gramStart"/>
      <w:r>
        <w:t>Основанием для освобождения от налога на добавленную стоимость товаров, ук</w:t>
      </w:r>
      <w:r>
        <w:t>а</w:t>
      </w:r>
      <w:r>
        <w:t>занных в части первой настоящего пункта, является представление в таможенный орган (налоговый орган – при ввозе с территории государств – членов Евразийского экономич</w:t>
      </w:r>
      <w:r>
        <w:t>е</w:t>
      </w:r>
      <w:r>
        <w:t>ского союза) заключения уполномоченного органа, определяемого Советом Министров Республики Беларусь, об отсутствии в Республике Беларусь производства аналогов техн</w:t>
      </w:r>
      <w:r>
        <w:t>о</w:t>
      </w:r>
      <w:r>
        <w:t>логического оборудования, комплектующих и запасных частей к нему.</w:t>
      </w:r>
      <w:proofErr w:type="gramEnd"/>
      <w:r>
        <w:t xml:space="preserve"> Порядок выдачи заключения определяется законодательством об административных процедурах.</w:t>
      </w:r>
    </w:p>
    <w:p w:rsidR="00ED7382" w:rsidRDefault="00ED7382">
      <w:pPr>
        <w:pStyle w:val="newncpi"/>
      </w:pPr>
      <w:proofErr w:type="gramStart"/>
      <w:r>
        <w:t>Технологическое оборудование, ввезенное с освобождением от налога на добавленную стоимость, установленным в части первой настоящего пункта, в течение одного года с даты его выпуска в соответствии с заявленной таможенной процедурой (с даты его получения, указанной в транспортных (товаросопроводительных) докуме</w:t>
      </w:r>
      <w:r>
        <w:t>н</w:t>
      </w:r>
      <w:r>
        <w:t>тах, – для технологического оборудования, ввезенного с территории государств – членов Евразийского экономического союза) должно быть принято декларантом (плательщиком) к учету в качестве объектов</w:t>
      </w:r>
      <w:proofErr w:type="gramEnd"/>
      <w:r>
        <w:t xml:space="preserve"> основных средств. На дату направления отчетов, указанных в части пятой настоящего пункта, ввезенное технологическое оборудование должно и</w:t>
      </w:r>
      <w:r>
        <w:t>с</w:t>
      </w:r>
      <w:r>
        <w:t>пользоваться при производстве и (или) реализации продукции, выполнении работ, оказ</w:t>
      </w:r>
      <w:r>
        <w:t>а</w:t>
      </w:r>
      <w:r>
        <w:t>нии услуг.</w:t>
      </w:r>
    </w:p>
    <w:p w:rsidR="00ED7382" w:rsidRDefault="00ED7382">
      <w:pPr>
        <w:pStyle w:val="newncpi"/>
      </w:pPr>
      <w:proofErr w:type="gramStart"/>
      <w:r>
        <w:t>Комплектующие и запасные части к технологическому оборудованию, ввезенные с освобождением от налога на добавленную стоимость, установленным в части первой настоящего пункта, в течение шести месяцев с даты их выпуска в соответствии с заявленной таможенной процедурой (с даты их получения, указанной в транспортных (товаросопроводительных) документах, – для комплектующих и запасных частей к технологическому оборудованию, ввезенных с территории государств – членов Еврази</w:t>
      </w:r>
      <w:r>
        <w:t>й</w:t>
      </w:r>
      <w:r>
        <w:t>ского экономического союза</w:t>
      </w:r>
      <w:proofErr w:type="gramEnd"/>
      <w:r>
        <w:t>) должны быть использованы декларантом (плательщиком) при ремонте, модернизации, реставрации технологического оборудования, проведении иных аналогичных работ в отношении его.</w:t>
      </w:r>
    </w:p>
    <w:p w:rsidR="00ED7382" w:rsidRDefault="00ED7382">
      <w:pPr>
        <w:pStyle w:val="newncpi"/>
      </w:pPr>
      <w:r>
        <w:t>О соблюдении требований, предусмотренных в частях третьей и четвертой насто</w:t>
      </w:r>
      <w:r>
        <w:t>я</w:t>
      </w:r>
      <w:r>
        <w:t>щего пункта:</w:t>
      </w:r>
    </w:p>
    <w:p w:rsidR="00ED7382" w:rsidRDefault="00ED7382">
      <w:pPr>
        <w:pStyle w:val="newncpi"/>
      </w:pPr>
      <w:proofErr w:type="gramStart"/>
      <w:r>
        <w:t>декларант информирует таможенный орган, осуществивший выпуск товаров в соответствии с таможенной процедурой, путем направления отчета по форме, устана</w:t>
      </w:r>
      <w:r>
        <w:t>в</w:t>
      </w:r>
      <w:r>
        <w:t>ливаемой Государственным таможенным комитетом, не позднее 20-го числа месяца, сл</w:t>
      </w:r>
      <w:r>
        <w:t>е</w:t>
      </w:r>
      <w:r>
        <w:t>дующего за месяцем истечения одного года (для технологического оборудования) и шести месяцев (для комплектующих и запасных частей к технологическому оборудованию) с даты выпуска товаров в соответствии с заявленной таможенной процедурой;</w:t>
      </w:r>
      <w:proofErr w:type="gramEnd"/>
    </w:p>
    <w:p w:rsidR="00ED7382" w:rsidRDefault="00ED7382">
      <w:pPr>
        <w:pStyle w:val="newncpi"/>
      </w:pPr>
      <w:proofErr w:type="gramStart"/>
      <w:r>
        <w:t>плательщик информирует налоговый орган по месту его постановки на учет путем направления отчета по форме, устанавливаемой Министерством по налогам и сборам, не позднее 20-го числа месяца, следующего за месяцем истечения одного года (для технологического оборудования) и шести месяцев (для комплектующих и запасных частей к технологическому оборудованию) с даты получения товаров, ввезенных с территории государств – членов Евразийского экономического союза, указанных в</w:t>
      </w:r>
      <w:proofErr w:type="gramEnd"/>
      <w:r>
        <w:t xml:space="preserve"> транспортных (товаросопроводительных) </w:t>
      </w:r>
      <w:proofErr w:type="gramStart"/>
      <w:r>
        <w:t>документах</w:t>
      </w:r>
      <w:proofErr w:type="gramEnd"/>
      <w:r>
        <w:t>.</w:t>
      </w:r>
    </w:p>
    <w:p w:rsidR="00ED7382" w:rsidRDefault="00ED7382">
      <w:pPr>
        <w:pStyle w:val="point"/>
      </w:pPr>
      <w:r>
        <w:t>2. Нарушение сроков, определенных в части пятой пункта 1 настоящего Указа, нес</w:t>
      </w:r>
      <w:r>
        <w:t>о</w:t>
      </w:r>
      <w:r>
        <w:t>блюдение требований, предусмотренных в частях третьей и четвертой пункта 1 настоящ</w:t>
      </w:r>
      <w:r>
        <w:t>е</w:t>
      </w:r>
      <w:r>
        <w:t>го Указа, являются нарушением условий освобождения от налога на добавленную сто</w:t>
      </w:r>
      <w:r>
        <w:t>и</w:t>
      </w:r>
      <w:r>
        <w:t>мость, установленных настоящим Указом.</w:t>
      </w:r>
    </w:p>
    <w:p w:rsidR="00ED7382" w:rsidRDefault="00ED7382">
      <w:pPr>
        <w:pStyle w:val="newncpi"/>
      </w:pPr>
      <w:r>
        <w:t>Не признается нарушением условий освобождения от налога на добавленную сто</w:t>
      </w:r>
      <w:r>
        <w:t>и</w:t>
      </w:r>
      <w:r>
        <w:t>мость, установленных настоящим Указом, передача ввезенных товаров в пределах одного юридического лица при соблюдении получающей стороной требований, предусмотренных в частях третьей и четвертой пункта 1 настоящего Указа.</w:t>
      </w:r>
    </w:p>
    <w:p w:rsidR="00ED7382" w:rsidRDefault="00ED7382">
      <w:pPr>
        <w:pStyle w:val="newncpi"/>
      </w:pPr>
      <w:r>
        <w:t>В случае нарушения условий освобождения от налога на добавленную стоимость, установленных настоящим Указом, налог на добавленную стоимость уплачивается (взы</w:t>
      </w:r>
      <w:r>
        <w:t>с</w:t>
      </w:r>
      <w:r>
        <w:t>кивается) в соответствии с налоговым законодательством, законодательством о таможенном регулировании.</w:t>
      </w:r>
    </w:p>
    <w:p w:rsidR="00ED7382" w:rsidRDefault="00ED7382">
      <w:pPr>
        <w:pStyle w:val="point"/>
      </w:pPr>
      <w:r>
        <w:t>3. Действие настоящего Указа не распространяется на технологическое оборудов</w:t>
      </w:r>
      <w:r>
        <w:t>а</w:t>
      </w:r>
      <w:r>
        <w:t>ние, комплектующие и запасные части к нему, ввозимые (ввезенные) в целях реализации инвестиционных проектов:</w:t>
      </w:r>
    </w:p>
    <w:p w:rsidR="00ED7382" w:rsidRDefault="00ED7382">
      <w:pPr>
        <w:pStyle w:val="newncpi"/>
      </w:pPr>
      <w:r>
        <w:t>в рамках инвестиционных договоров, зарегистрированных в Государственном р</w:t>
      </w:r>
      <w:r>
        <w:t>е</w:t>
      </w:r>
      <w:r>
        <w:t>естре инвестиционных договоров, и освобождаемые в соответствии с законодательством от налога на добавленную стоимость, взимаемого таможенными органами;</w:t>
      </w:r>
    </w:p>
    <w:p w:rsidR="00ED7382" w:rsidRDefault="00ED7382">
      <w:pPr>
        <w:pStyle w:val="newncpi"/>
      </w:pPr>
      <w:r>
        <w:t>финансируемых за счет внешних государственных займов и внешних займов, пр</w:t>
      </w:r>
      <w:r>
        <w:t>и</w:t>
      </w:r>
      <w:r>
        <w:t>влеченных под гарантии Правительства Республики Беларусь;</w:t>
      </w:r>
    </w:p>
    <w:p w:rsidR="00ED7382" w:rsidRDefault="00ED7382">
      <w:pPr>
        <w:pStyle w:val="newncpi"/>
      </w:pPr>
      <w:proofErr w:type="gramStart"/>
      <w:r>
        <w:t>включенных</w:t>
      </w:r>
      <w:proofErr w:type="gramEnd"/>
      <w:r>
        <w:t xml:space="preserve"> в Государственную программу инновационного развития Республики Беларусь, и освобождаемые в соответствии с законодательством от налога на добавленную стоимость, взимаемого таможенными органами.</w:t>
      </w:r>
    </w:p>
    <w:p w:rsidR="00ED7382" w:rsidRDefault="00ED7382">
      <w:pPr>
        <w:pStyle w:val="point"/>
      </w:pPr>
      <w:r>
        <w:t>4. Совету Министров Республики Беларусь в трехмесячный срок принять меры по реализации настоящего Указа.</w:t>
      </w:r>
    </w:p>
    <w:p w:rsidR="00ED7382" w:rsidRDefault="00ED7382">
      <w:pPr>
        <w:pStyle w:val="point"/>
      </w:pPr>
      <w:r>
        <w:t>5. Настоящий Указ вступает в силу в следующем порядке:</w:t>
      </w:r>
    </w:p>
    <w:p w:rsidR="00ED7382" w:rsidRDefault="00ED7382">
      <w:pPr>
        <w:pStyle w:val="newncpi"/>
      </w:pPr>
      <w:r>
        <w:t>пункт 4 и настоящий пункт – после официального опубликования данного Указа;</w:t>
      </w:r>
    </w:p>
    <w:p w:rsidR="00ED7382" w:rsidRDefault="00ED7382">
      <w:pPr>
        <w:pStyle w:val="newncpi"/>
      </w:pPr>
      <w:r>
        <w:t>иные положения – через три месяца после официального опубликования настоящего Указа.</w:t>
      </w:r>
    </w:p>
    <w:p w:rsidR="00ED7382" w:rsidRDefault="00ED73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ED73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7382" w:rsidRDefault="00ED738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7382" w:rsidRDefault="00ED73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D7382" w:rsidRDefault="00ED7382">
      <w:pPr>
        <w:pStyle w:val="newncpi0"/>
      </w:pPr>
      <w:r>
        <w:t> </w:t>
      </w:r>
    </w:p>
    <w:p w:rsidR="00FF6FFF" w:rsidRDefault="00FF6FFF"/>
    <w:sectPr w:rsidR="00FF6FFF" w:rsidSect="00ED7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851" w:right="1133" w:bottom="851" w:left="1416" w:header="280" w:footer="180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82" w:rsidRDefault="00ED7382">
      <w:r>
        <w:separator/>
      </w:r>
    </w:p>
  </w:endnote>
  <w:endnote w:type="continuationSeparator" w:id="0">
    <w:p w:rsidR="00ED7382" w:rsidRDefault="00ED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2" w:rsidRDefault="00ED73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0"/>
    </w:tblGrid>
    <w:tr w:rsidR="00ED7382" w:rsidTr="00ED7382">
      <w:tc>
        <w:tcPr>
          <w:tcW w:w="1800" w:type="dxa"/>
          <w:shd w:val="clear" w:color="auto" w:fill="auto"/>
          <w:vAlign w:val="center"/>
        </w:tcPr>
        <w:p w:rsidR="00ED7382" w:rsidRDefault="00ED7382">
          <w:pPr>
            <w:pStyle w:val="a4"/>
          </w:pPr>
          <w:r>
            <w:rPr>
              <w:noProof/>
            </w:rPr>
            <w:drawing>
              <wp:inline distT="0" distB="0" distL="0" distR="0" wp14:anchorId="43FF12A6" wp14:editId="2B7B357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shd w:val="clear" w:color="auto" w:fill="auto"/>
          <w:vAlign w:val="center"/>
        </w:tcPr>
        <w:p w:rsidR="00ED7382" w:rsidRDefault="00ED7382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ED7382" w:rsidRDefault="00ED7382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25.10.2024</w:t>
          </w:r>
        </w:p>
        <w:p w:rsidR="00ED7382" w:rsidRPr="00ED7382" w:rsidRDefault="00ED7382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D7382" w:rsidRDefault="00ED7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82" w:rsidRDefault="00ED7382">
      <w:r>
        <w:separator/>
      </w:r>
    </w:p>
  </w:footnote>
  <w:footnote w:type="continuationSeparator" w:id="0">
    <w:p w:rsidR="00ED7382" w:rsidRDefault="00ED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2" w:rsidRDefault="00ED7382" w:rsidP="00816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D7382" w:rsidRDefault="00ED7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2" w:rsidRPr="00ED7382" w:rsidRDefault="00ED7382" w:rsidP="00816024">
    <w:pPr>
      <w:pStyle w:val="a3"/>
      <w:framePr w:wrap="around" w:vAnchor="text" w:hAnchor="margin" w:xAlign="center" w:y="1"/>
      <w:rPr>
        <w:rStyle w:val="a5"/>
        <w:rFonts w:cs="Times New Roman"/>
        <w:sz w:val="24"/>
      </w:rPr>
    </w:pPr>
    <w:r w:rsidRPr="00ED7382">
      <w:rPr>
        <w:rStyle w:val="a5"/>
        <w:rFonts w:cs="Times New Roman"/>
        <w:sz w:val="24"/>
      </w:rPr>
      <w:fldChar w:fldCharType="begin"/>
    </w:r>
    <w:r w:rsidRPr="00ED7382">
      <w:rPr>
        <w:rStyle w:val="a5"/>
        <w:rFonts w:cs="Times New Roman"/>
        <w:sz w:val="24"/>
      </w:rPr>
      <w:instrText xml:space="preserve">PAGE  </w:instrText>
    </w:r>
    <w:r w:rsidRPr="00ED7382">
      <w:rPr>
        <w:rStyle w:val="a5"/>
        <w:rFonts w:cs="Times New Roman"/>
        <w:sz w:val="24"/>
      </w:rPr>
      <w:fldChar w:fldCharType="separate"/>
    </w:r>
    <w:r>
      <w:rPr>
        <w:rStyle w:val="a5"/>
        <w:rFonts w:cs="Times New Roman"/>
        <w:noProof/>
        <w:sz w:val="24"/>
      </w:rPr>
      <w:t>2</w:t>
    </w:r>
    <w:r w:rsidRPr="00ED7382">
      <w:rPr>
        <w:rStyle w:val="a5"/>
        <w:rFonts w:cs="Times New Roman"/>
        <w:sz w:val="24"/>
      </w:rPr>
      <w:fldChar w:fldCharType="end"/>
    </w:r>
  </w:p>
  <w:p w:rsidR="00ED7382" w:rsidRPr="00ED7382" w:rsidRDefault="00ED7382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2" w:rsidRDefault="00ED7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2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ED7382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titlencpi">
    <w:name w:val="titlencpi"/>
    <w:basedOn w:val="a"/>
    <w:rsid w:val="00ED7382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point">
    <w:name w:val="point"/>
    <w:basedOn w:val="a"/>
    <w:rsid w:val="00ED7382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ED7382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ED7382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ED73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73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73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73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D73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7382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ED7382"/>
  </w:style>
  <w:style w:type="table" w:styleId="a6">
    <w:name w:val="Table Grid"/>
    <w:basedOn w:val="a1"/>
    <w:rsid w:val="00ED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titlencpi">
    <w:name w:val="titlencpi"/>
    <w:basedOn w:val="a"/>
    <w:rsid w:val="00ED7382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point">
    <w:name w:val="point"/>
    <w:basedOn w:val="a"/>
    <w:rsid w:val="00ED7382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ED7382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ED7382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ED73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73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73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73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D73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7382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ED7382"/>
  </w:style>
  <w:style w:type="table" w:styleId="a6">
    <w:name w:val="Table Grid"/>
    <w:basedOn w:val="a1"/>
    <w:rsid w:val="00ED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4927</Characters>
  <Application>Microsoft Office Word</Application>
  <DocSecurity>0</DocSecurity>
  <Lines>84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2024-10-25T12:13:00Z</dcterms:created>
  <dcterms:modified xsi:type="dcterms:W3CDTF">2024-10-25T12:15:00Z</dcterms:modified>
</cp:coreProperties>
</file>