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A72" w:rsidRPr="00E32A72" w:rsidRDefault="00E32A72" w:rsidP="00E32A72">
      <w:pPr>
        <w:spacing w:after="0" w:line="240" w:lineRule="auto"/>
        <w:jc w:val="center"/>
        <w:outlineLvl w:val="1"/>
        <w:rPr>
          <w:rFonts w:ascii="Open Sans" w:eastAsia="Times New Roman" w:hAnsi="Open Sans" w:cs="Times New Roman"/>
          <w:b/>
          <w:bCs/>
          <w:sz w:val="36"/>
          <w:szCs w:val="36"/>
          <w:lang w:eastAsia="ru-RU"/>
        </w:rPr>
      </w:pPr>
      <w:r w:rsidRPr="00E32A72">
        <w:rPr>
          <w:rFonts w:ascii="Open Sans" w:eastAsia="Times New Roman" w:hAnsi="Open Sans" w:cs="Times New Roman"/>
          <w:b/>
          <w:bCs/>
          <w:sz w:val="36"/>
          <w:szCs w:val="36"/>
          <w:lang w:eastAsia="ru-RU"/>
        </w:rPr>
        <w:t>Информация об открытых иностранными донорами конкурсах, программах по оказанию иностранной безвозмездной помощи</w:t>
      </w:r>
    </w:p>
    <w:p w:rsidR="00E32A72" w:rsidRPr="00E32A72" w:rsidRDefault="00E32A72" w:rsidP="00E32A72">
      <w:pPr>
        <w:spacing w:after="0" w:line="240" w:lineRule="auto"/>
        <w:jc w:val="center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tbl>
      <w:tblPr>
        <w:tblW w:w="5553" w:type="pct"/>
        <w:tblCellSpacing w:w="15" w:type="dxa"/>
        <w:tblInd w:w="-5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1661"/>
        <w:gridCol w:w="2411"/>
        <w:gridCol w:w="3690"/>
        <w:gridCol w:w="2410"/>
      </w:tblGrid>
      <w:tr w:rsidR="00E32A72" w:rsidRPr="00E32A72" w:rsidTr="00E32A72">
        <w:trPr>
          <w:tblCellSpacing w:w="15" w:type="dxa"/>
        </w:trPr>
        <w:tc>
          <w:tcPr>
            <w:tcW w:w="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Организаторы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Тематика</w:t>
            </w:r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32A72" w:rsidRPr="00E32A72" w:rsidTr="00E32A72">
        <w:trPr>
          <w:tblCellSpacing w:w="15" w:type="dxa"/>
        </w:trPr>
        <w:tc>
          <w:tcPr>
            <w:tcW w:w="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val="en-US"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Всемирный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фонд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детства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val="en-US" w:eastAsia="ru-RU"/>
              </w:rPr>
              <w:br/>
              <w:t>(World childhood foundation)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 xml:space="preserve">Миссия </w:t>
            </w:r>
            <w:proofErr w:type="spellStart"/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Childhoods</w:t>
            </w:r>
            <w:proofErr w:type="spellEnd"/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Проекты в  тематических област</w:t>
            </w:r>
            <w:bookmarkStart w:id="0" w:name="_GoBack"/>
            <w:bookmarkEnd w:id="0"/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ях: безопасность ребенка в сети; поддерживающая среда и отношения с ребенком</w:t>
            </w:r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Ссылка: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br/>
            </w:r>
            <w:hyperlink r:id="rId5" w:history="1">
              <w:r w:rsidRPr="00E32A72">
                <w:rPr>
                  <w:rFonts w:ascii="Open Sans" w:eastAsia="Times New Roman" w:hAnsi="Open Sans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https://childhood.org/propose-a-project/</w:t>
              </w:r>
            </w:hyperlink>
          </w:p>
        </w:tc>
      </w:tr>
      <w:tr w:rsidR="00E32A72" w:rsidRPr="00E32A72" w:rsidTr="00E32A72">
        <w:trPr>
          <w:tblCellSpacing w:w="15" w:type="dxa"/>
        </w:trPr>
        <w:tc>
          <w:tcPr>
            <w:tcW w:w="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Глобальный экологический фонд (ГЭФ)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Программа малых грантов ГЭФ в Беларуси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Предоставляет гранты на реализацию проектов по  направлениям:  сохранение биоразнообразия, изменение климата, деградация земель, устойчивое лесопользование, органические загрязнения и др.</w:t>
            </w:r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Ссылка: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br/>
            </w:r>
            <w:hyperlink r:id="rId6" w:history="1">
              <w:r w:rsidRPr="00E32A72">
                <w:rPr>
                  <w:rFonts w:ascii="Open Sans" w:eastAsia="Times New Roman" w:hAnsi="Open Sans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http://www.sgp-gef.by/</w:t>
              </w:r>
            </w:hyperlink>
          </w:p>
        </w:tc>
      </w:tr>
      <w:tr w:rsidR="00E32A72" w:rsidRPr="00E32A72" w:rsidTr="00E32A72">
        <w:trPr>
          <w:tblCellSpacing w:w="15" w:type="dxa"/>
        </w:trPr>
        <w:tc>
          <w:tcPr>
            <w:tcW w:w="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Посольство Японии в Минске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Грантовая</w:t>
            </w:r>
            <w:proofErr w:type="spellEnd"/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 xml:space="preserve"> программа Правительства «Корни травы»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Программы: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32A72">
              <w:rPr>
                <w:rFonts w:ascii="Open Sans" w:eastAsia="Times New Roman" w:hAnsi="Open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«Корни травы — </w:t>
            </w:r>
            <w:proofErr w:type="spellStart"/>
            <w:r w:rsidRPr="00E32A72">
              <w:rPr>
                <w:rFonts w:ascii="Open Sans" w:eastAsia="Times New Roman" w:hAnsi="Open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грантовая</w:t>
            </w:r>
            <w:proofErr w:type="spellEnd"/>
            <w:r w:rsidRPr="00E32A72">
              <w:rPr>
                <w:rFonts w:ascii="Open Sans" w:eastAsia="Times New Roman" w:hAnsi="Open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помощь для проектов по обеспечению безопасности человека» 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 xml:space="preserve">—  проекты в сфере здравоохранения, образования, сельского хозяйства и др. </w:t>
            </w:r>
            <w:proofErr w:type="spellStart"/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Грантовая</w:t>
            </w:r>
            <w:proofErr w:type="spellEnd"/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 xml:space="preserve"> помощь подразумевает предоставление сре</w:t>
            </w:r>
            <w:proofErr w:type="gramStart"/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я закупки оборудования, а также оснащения учреждений. Основная цель  – помощь людям, пострадавшим от аварии на Чернобыльской АЭС и ее последствий.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32A72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«Корни травы — </w:t>
            </w:r>
            <w:proofErr w:type="spellStart"/>
            <w:r w:rsidRPr="00E32A72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грантовая</w:t>
            </w:r>
            <w:proofErr w:type="spellEnd"/>
            <w:r w:rsidRPr="00E32A72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помощь для проектов в сфере культуры и спорта»</w:t>
            </w:r>
            <w:r w:rsidRPr="00E32A7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 — проекты, направленные на развитие культуры, высшего образования или спорта</w:t>
            </w:r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Ссылка: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br/>
            </w:r>
            <w:hyperlink r:id="rId7" w:history="1">
              <w:r w:rsidRPr="00E32A72">
                <w:rPr>
                  <w:rFonts w:ascii="Open Sans" w:eastAsia="Times New Roman" w:hAnsi="Open Sans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https://www.by.emb-japan.go.jp/itpr_ru/index19.html</w:t>
              </w:r>
            </w:hyperlink>
          </w:p>
        </w:tc>
      </w:tr>
      <w:tr w:rsidR="00E32A72" w:rsidRPr="00E32A72" w:rsidTr="00E32A72">
        <w:trPr>
          <w:tblCellSpacing w:w="15" w:type="dxa"/>
        </w:trPr>
        <w:tc>
          <w:tcPr>
            <w:tcW w:w="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Фонд «Русский мир»</w:t>
            </w:r>
          </w:p>
        </w:tc>
        <w:tc>
          <w:tcPr>
            <w:tcW w:w="2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Гранты фонда «Русский мир»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Проводит конкурсы два раза в год по проектам культурно-гуманитарной направленности</w:t>
            </w:r>
          </w:p>
        </w:tc>
        <w:tc>
          <w:tcPr>
            <w:tcW w:w="2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A72" w:rsidRPr="00E32A72" w:rsidRDefault="00E32A72" w:rsidP="00E32A72">
            <w:pPr>
              <w:spacing w:after="0" w:line="240" w:lineRule="auto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t>Ссылка:</w:t>
            </w:r>
            <w:r w:rsidRPr="00E32A72"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  <w:br/>
            </w:r>
            <w:hyperlink r:id="rId8" w:history="1">
              <w:r w:rsidRPr="00E32A72">
                <w:rPr>
                  <w:rFonts w:ascii="Open Sans" w:eastAsia="Times New Roman" w:hAnsi="Open Sans" w:cs="Times New Roman"/>
                  <w:color w:val="008000"/>
                  <w:sz w:val="24"/>
                  <w:szCs w:val="24"/>
                  <w:u w:val="single"/>
                  <w:lang w:eastAsia="ru-RU"/>
                </w:rPr>
                <w:t>https://russkiymir.ru/grants/</w:t>
              </w:r>
            </w:hyperlink>
          </w:p>
        </w:tc>
      </w:tr>
    </w:tbl>
    <w:p w:rsidR="00FC3EBA" w:rsidRDefault="00E32A72"/>
    <w:sectPr w:rsidR="00FC3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72"/>
    <w:rsid w:val="00247840"/>
    <w:rsid w:val="003A2404"/>
    <w:rsid w:val="00E3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32A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2A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3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2A72"/>
    <w:rPr>
      <w:b/>
      <w:bCs/>
    </w:rPr>
  </w:style>
  <w:style w:type="character" w:styleId="a5">
    <w:name w:val="Hyperlink"/>
    <w:basedOn w:val="a0"/>
    <w:uiPriority w:val="99"/>
    <w:semiHidden/>
    <w:unhideWhenUsed/>
    <w:rsid w:val="00E32A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32A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2A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3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2A72"/>
    <w:rPr>
      <w:b/>
      <w:bCs/>
    </w:rPr>
  </w:style>
  <w:style w:type="character" w:styleId="a5">
    <w:name w:val="Hyperlink"/>
    <w:basedOn w:val="a0"/>
    <w:uiPriority w:val="99"/>
    <w:semiHidden/>
    <w:unhideWhenUsed/>
    <w:rsid w:val="00E32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skiymir.ru/gran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y.emb-japan.go.jp/itpr_ru/index1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gp-gef.by/" TargetMode="External"/><Relationship Id="rId5" Type="http://schemas.openxmlformats.org/officeDocument/2006/relationships/hyperlink" Target="https://childhood.org/propose-a-projec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Сиволобчик Юлия Михайловна</dc:creator>
  <cp:lastModifiedBy>Сиволобчик Юлия Михайловна</cp:lastModifiedBy>
  <cp:revision>1</cp:revision>
  <dcterms:created xsi:type="dcterms:W3CDTF">2025-06-13T08:48:00Z</dcterms:created>
  <dcterms:modified xsi:type="dcterms:W3CDTF">2025-06-13T08:50:00Z</dcterms:modified>
</cp:coreProperties>
</file>