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F376" w14:textId="77777777" w:rsidR="00B944EB" w:rsidRDefault="00B944E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FDDD494" w14:textId="77777777" w:rsidR="00B944EB" w:rsidRDefault="00B944EB">
      <w:pPr>
        <w:pStyle w:val="newncpi"/>
        <w:ind w:firstLine="0"/>
        <w:jc w:val="center"/>
      </w:pPr>
      <w:r>
        <w:rPr>
          <w:rStyle w:val="datepr"/>
        </w:rPr>
        <w:t>30 августа 2025 г.</w:t>
      </w:r>
      <w:r>
        <w:rPr>
          <w:rStyle w:val="number"/>
        </w:rPr>
        <w:t xml:space="preserve"> № 473</w:t>
      </w:r>
    </w:p>
    <w:p w14:paraId="6C30FC04" w14:textId="77777777" w:rsidR="00B944EB" w:rsidRDefault="00B944EB">
      <w:pPr>
        <w:pStyle w:val="titlencpi"/>
      </w:pPr>
      <w:r>
        <w:t>О регулировании цен</w:t>
      </w:r>
    </w:p>
    <w:p w14:paraId="2E4125E2" w14:textId="77777777" w:rsidR="00B944EB" w:rsidRDefault="00B944EB">
      <w:pPr>
        <w:pStyle w:val="preamble"/>
      </w:pPr>
      <w:r>
        <w:t>На основании пункта 2 Указа Президента Республики Беларусь от 13 июня 2023 г. № 171 «О принятии мер в области ценообразования» Совет Министров Республики Беларусь ПОСТАНОВЛЯЕТ:</w:t>
      </w:r>
    </w:p>
    <w:p w14:paraId="14570F78" w14:textId="77777777" w:rsidR="00B944EB" w:rsidRDefault="00B944EB">
      <w:pPr>
        <w:pStyle w:val="point"/>
      </w:pPr>
      <w:r>
        <w:t>1. Ввести регулирование:</w:t>
      </w:r>
    </w:p>
    <w:p w14:paraId="6AF92331" w14:textId="77777777" w:rsidR="00B944EB" w:rsidRDefault="00B944EB">
      <w:pPr>
        <w:pStyle w:val="newncpi"/>
      </w:pPr>
      <w:r>
        <w:t>цен на товары, производимые (ввозимые) и (или) реализуемые на территории Республики Беларусь юридическими лицами и индивидуальными предпринимателями, согласно приложению (далее – товары);</w:t>
      </w:r>
    </w:p>
    <w:p w14:paraId="72C7FC45" w14:textId="77777777" w:rsidR="00B944EB" w:rsidRDefault="00B944EB">
      <w:pPr>
        <w:pStyle w:val="newncpi"/>
      </w:pPr>
      <w:r>
        <w:t>тарифов на работы (услуги) по погребению, выполняемые (оказываемые) на территории Республики Беларусь юридическими лицами и индивидуальными предпринимателями (далее – работы (услуги) по погребению), за исключением гарантированных услуг по погребению;</w:t>
      </w:r>
    </w:p>
    <w:p w14:paraId="7D25CB70" w14:textId="77777777" w:rsidR="00B944EB" w:rsidRDefault="00B944EB">
      <w:pPr>
        <w:pStyle w:val="newncpi"/>
      </w:pPr>
      <w:r>
        <w:t>цен на продукцию, предназначенную для питания обучающихся в суворовских военных училищах (далее – суворовцы), курсантов, а также студентов, обучающихся в воинских формированиях и военизированных организациях (далее – студенты), в случаях, когда при заключении договоров на организацию питания предусматривается питание указанных категорий обучающихся.</w:t>
      </w:r>
    </w:p>
    <w:p w14:paraId="2DFA88F1" w14:textId="77777777" w:rsidR="00B944EB" w:rsidRDefault="00B944EB">
      <w:pPr>
        <w:pStyle w:val="point"/>
      </w:pPr>
      <w:r>
        <w:t>2. Действие настоящего постановления распространяется на юридические лица и индивидуальных предпринимателей, реализующих продукцию, указанную в абзаце четвертом пункта 1 настоящего постановления, при организации питания суворовцев, курсантов, а также студентов в рамках заключенных договоров на организацию питания указанных категорий обучающихся (далее – субъекты питания).</w:t>
      </w:r>
    </w:p>
    <w:p w14:paraId="7F6445C3" w14:textId="77777777" w:rsidR="00B944EB" w:rsidRDefault="00B944EB">
      <w:pPr>
        <w:pStyle w:val="point"/>
      </w:pPr>
      <w:r>
        <w:t>3. Установить, что:</w:t>
      </w:r>
    </w:p>
    <w:p w14:paraId="44D53D3B" w14:textId="77777777" w:rsidR="00B944EB" w:rsidRDefault="00B944EB">
      <w:pPr>
        <w:pStyle w:val="underpoint"/>
      </w:pPr>
      <w:r>
        <w:t>3.1. предельные максимальные надбавки импортеров, предельные максимальные оптовые надбавки, торговые надбавки (с учетом оптовой надбавки) на товары применяются в значениях, указанных в приложении;</w:t>
      </w:r>
    </w:p>
    <w:p w14:paraId="439ACFC8" w14:textId="77777777" w:rsidR="00B944EB" w:rsidRDefault="00B944EB">
      <w:pPr>
        <w:pStyle w:val="underpoint"/>
      </w:pPr>
      <w:r>
        <w:t>3.2. предельный максимальный норматив рентабельности, используемый для определения суммы прибыли, подлежащей включению в отпускные цены производителей на товары и в тарифы на работы (услуги) по погребению, составляет 50 процентов;</w:t>
      </w:r>
    </w:p>
    <w:p w14:paraId="25221336" w14:textId="77777777" w:rsidR="00B944EB" w:rsidRDefault="00B944EB">
      <w:pPr>
        <w:pStyle w:val="underpoint"/>
      </w:pPr>
      <w:r>
        <w:t>3.3. стоимость сырья и материалов, используемых при оказании работ (услуг) по погребению, включается в тариф на работу (услугу) по погребению по цене их приобретения и фактически понесенных расходов на доставку;</w:t>
      </w:r>
    </w:p>
    <w:p w14:paraId="2747B325" w14:textId="77777777" w:rsidR="00B944EB" w:rsidRDefault="00B944EB">
      <w:pPr>
        <w:pStyle w:val="underpoint"/>
      </w:pPr>
      <w:r>
        <w:t>3.4. розничная цена на продукцию, предназначенную для питания суворовцев, курсантов, а также студентов, устанавливается исходя из стоимости соответствующего пайка, устанавливаемой соответственно Министерством обороны, Министерством по чрезвычайным ситуациям, Государственным пограничным комитетом по согласованию с Министерством финансов, и предельной максимальной наценки;</w:t>
      </w:r>
    </w:p>
    <w:p w14:paraId="04B05295" w14:textId="77777777" w:rsidR="00B944EB" w:rsidRDefault="00B944EB">
      <w:pPr>
        <w:pStyle w:val="underpoint"/>
      </w:pPr>
      <w:r>
        <w:t>3.5. предельная максимальная наценка составляет:</w:t>
      </w:r>
    </w:p>
    <w:p w14:paraId="7B5CE42F" w14:textId="77777777" w:rsidR="00B944EB" w:rsidRDefault="00B944EB">
      <w:pPr>
        <w:pStyle w:val="newncpi"/>
      </w:pPr>
      <w:r>
        <w:t>в учреждениях общего среднего образования – 40 процентов;</w:t>
      </w:r>
    </w:p>
    <w:p w14:paraId="35AAD8E9" w14:textId="77777777" w:rsidR="00B944EB" w:rsidRDefault="00B944EB">
      <w:pPr>
        <w:pStyle w:val="newncpi"/>
      </w:pPr>
      <w:r>
        <w:t>в учреждениях образования, не указанных в абзаце втором настоящего подпункта, а также вне места нахождения учреждения образования:</w:t>
      </w:r>
    </w:p>
    <w:p w14:paraId="7650239B" w14:textId="77777777" w:rsidR="00B944EB" w:rsidRDefault="00B944EB">
      <w:pPr>
        <w:pStyle w:val="newncpi"/>
      </w:pPr>
      <w:r>
        <w:t>при организации питания без возмещения субъектом питания расходов и затрат в соответствии с частью первой подпункта 1.13 пункта 1 Указа Президента Республики Беларусь от 16 мая 2023 г. № 138 «Об аренде и безвозмездном пользовании имуществом» – 40 процентов;</w:t>
      </w:r>
    </w:p>
    <w:p w14:paraId="7B72DDA7" w14:textId="77777777" w:rsidR="00B944EB" w:rsidRDefault="00B944EB">
      <w:pPr>
        <w:pStyle w:val="newncpi"/>
      </w:pPr>
      <w:r>
        <w:t>при организации питания с полным возмещением субъектом питания расходов и затрат, указанных в абзаце четвертом настоящего подпункта, – 50 процентов.</w:t>
      </w:r>
    </w:p>
    <w:p w14:paraId="00AE42B0" w14:textId="77777777" w:rsidR="00B944EB" w:rsidRDefault="00B944EB">
      <w:pPr>
        <w:pStyle w:val="point"/>
      </w:pPr>
      <w:r>
        <w:lastRenderedPageBreak/>
        <w:t>4. Остатки товаров, образовавшиеся у импортеров и субъектов торговли на дату вступления в силу настоящего постановления, реализуются:</w:t>
      </w:r>
    </w:p>
    <w:p w14:paraId="38410685" w14:textId="77777777" w:rsidR="00B944EB" w:rsidRDefault="00B944EB">
      <w:pPr>
        <w:pStyle w:val="newncpi"/>
      </w:pPr>
      <w:r>
        <w:t>до нового поступления таких же товаров – по ценам, не превышающим уровень, сложившийся на дату вступления в силу настоящего постановления;</w:t>
      </w:r>
    </w:p>
    <w:p w14:paraId="31A3F914" w14:textId="77777777" w:rsidR="00B944EB" w:rsidRDefault="00B944EB">
      <w:pPr>
        <w:pStyle w:val="newncpi"/>
      </w:pPr>
      <w:r>
        <w:t>при новом поступлении таких же товаров с даты вступления в силу настоящего постановления – по ценам не выше сформированных в соответствии с настоящим постановлением на вновь поступившие товары.</w:t>
      </w:r>
    </w:p>
    <w:p w14:paraId="7A97549F" w14:textId="77777777" w:rsidR="00B944EB" w:rsidRDefault="00B944EB">
      <w:pPr>
        <w:pStyle w:val="newncpi"/>
      </w:pPr>
      <w:r>
        <w:t>При приобретении у субъектов торговли, осуществляющих оптовую торговлю, остатков товаров, образовавшихся на дату вступления в силу настоящего постановления, торговые надбавки (без учета оптовой надбавки), не превышающие указанные в приложении, могут применяться субъектами торговли, осуществляющими розничную торговлю, к ценам приобретения при условии, что до даты вступления в силу настоящего постановления в отношении товаров не осуществлялось государственное регулирование цен путем установления максимальных оптовых (торговых) надбавок.</w:t>
      </w:r>
    </w:p>
    <w:p w14:paraId="1A96483B" w14:textId="77777777" w:rsidR="00B944EB" w:rsidRDefault="00B944EB">
      <w:pPr>
        <w:pStyle w:val="newncpi"/>
      </w:pPr>
      <w:r>
        <w:t>Дополнительно к сведениям, содержащимся в товарно-транспортной накладной и товарной накладной, указываются сведения, связанные с установлением регулируемых цен на товары субъектами торговли, осуществляющими оптовую торговлю, при реализации товаров в соответствии с частями первой и второй настоящего пункта, а также информация о том, что реализуемый товар относится к остаткам, образовавшимся на дату вступления в силу настоящего постановления.</w:t>
      </w:r>
    </w:p>
    <w:p w14:paraId="125DCBA4" w14:textId="77777777" w:rsidR="00B944EB" w:rsidRDefault="00B944EB">
      <w:pPr>
        <w:pStyle w:val="point"/>
      </w:pPr>
      <w:r>
        <w:t>5. Отпускные цены на товары, вырабатываемые из давальческого сырья и предназначенные для реализации на территории Республики Беларусь, формируются заказчиком исходя из стоимости сырья, расходов, связанных с его приобретением и переработкой, установленных налогов и иных обязательных платежей, прибыли, но не выше уровня отпускных цен, сформированных производителем на аналогичные товары, изготовленные из собственного сырья.</w:t>
      </w:r>
    </w:p>
    <w:p w14:paraId="3359FBA4" w14:textId="77777777" w:rsidR="00B944EB" w:rsidRDefault="00B944EB">
      <w:pPr>
        <w:pStyle w:val="point"/>
      </w:pPr>
      <w:r>
        <w:t>6. Порядок определения себестоимости товаров, работ (услуг) по погребению для формирования отпускной цены (тарифа) устанавливается Министерством жилищно-коммунального хозяйства совместно с Министерством антимонопольного регулирования и торговли.</w:t>
      </w:r>
    </w:p>
    <w:p w14:paraId="1E178ABD" w14:textId="77777777" w:rsidR="00B944EB" w:rsidRDefault="00B944EB">
      <w:pPr>
        <w:pStyle w:val="point"/>
      </w:pPr>
      <w:r>
        <w:t>7. Настоящее постановление вступает в силу через месяц после его официального опубликования.</w:t>
      </w:r>
    </w:p>
    <w:p w14:paraId="08322511" w14:textId="77777777" w:rsidR="00B944EB" w:rsidRDefault="00B944E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944EB" w14:paraId="602383F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4BDB1" w14:textId="77777777" w:rsidR="00B944EB" w:rsidRDefault="00B944EB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ADF1D6" w14:textId="77777777" w:rsidR="00B944EB" w:rsidRDefault="00B944EB">
            <w:pPr>
              <w:pStyle w:val="newncpi0"/>
              <w:jc w:val="right"/>
            </w:pPr>
            <w:r>
              <w:rPr>
                <w:rStyle w:val="pers"/>
              </w:rPr>
              <w:t>А.Турчин</w:t>
            </w:r>
          </w:p>
        </w:tc>
      </w:tr>
    </w:tbl>
    <w:p w14:paraId="4D8AAA25" w14:textId="77777777" w:rsidR="00B944EB" w:rsidRDefault="00B944E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944EB" w14:paraId="31BDBCBA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1A3E" w14:textId="77777777" w:rsidR="00B944EB" w:rsidRDefault="00B944E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19D55" w14:textId="77777777" w:rsidR="00B944EB" w:rsidRDefault="00B944EB">
            <w:pPr>
              <w:pStyle w:val="append1"/>
            </w:pPr>
            <w:r>
              <w:t>Приложение</w:t>
            </w:r>
          </w:p>
          <w:p w14:paraId="276D936E" w14:textId="77777777" w:rsidR="00B944EB" w:rsidRDefault="00B944EB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30.08.2025 № 473 </w:t>
            </w:r>
          </w:p>
        </w:tc>
      </w:tr>
    </w:tbl>
    <w:p w14:paraId="56FDF646" w14:textId="77777777" w:rsidR="00B944EB" w:rsidRDefault="00B944EB">
      <w:pPr>
        <w:pStyle w:val="titlep"/>
        <w:jc w:val="left"/>
      </w:pPr>
      <w:r>
        <w:t>ПЕРЕЧЕНЬ ТОВАРОВ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2620"/>
        <w:gridCol w:w="2755"/>
      </w:tblGrid>
      <w:tr w:rsidR="00B944EB" w14:paraId="589A07E2" w14:textId="77777777">
        <w:trPr>
          <w:trHeight w:val="240"/>
        </w:trPr>
        <w:tc>
          <w:tcPr>
            <w:tcW w:w="2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DB8F0" w14:textId="77777777" w:rsidR="00B944EB" w:rsidRDefault="00B944EB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0CC367" w14:textId="77777777" w:rsidR="00B944EB" w:rsidRDefault="00B944EB">
            <w:pPr>
              <w:pStyle w:val="table10"/>
              <w:jc w:val="center"/>
            </w:pPr>
            <w:r>
              <w:t>Предельная максимальная надбавка импортера, процентов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B115B1" w14:textId="77777777" w:rsidR="00B944EB" w:rsidRDefault="00B944EB">
            <w:pPr>
              <w:pStyle w:val="table10"/>
              <w:jc w:val="center"/>
            </w:pPr>
            <w:r>
              <w:t>Предельные максимальные оптовая и торговая (с учетом оптовой) надбавки к отпускной цене производителя (импортера), процентов</w:t>
            </w:r>
          </w:p>
        </w:tc>
      </w:tr>
      <w:tr w:rsidR="00B944EB" w14:paraId="57907072" w14:textId="77777777">
        <w:trPr>
          <w:trHeight w:val="240"/>
        </w:trPr>
        <w:tc>
          <w:tcPr>
            <w:tcW w:w="2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D481D" w14:textId="77777777" w:rsidR="00B944EB" w:rsidRDefault="00B944EB">
            <w:pPr>
              <w:pStyle w:val="table10"/>
              <w:spacing w:before="120"/>
            </w:pPr>
            <w:r>
              <w:t xml:space="preserve">1. Гроб 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404C" w14:textId="77777777" w:rsidR="00B944EB" w:rsidRDefault="00B944EB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147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3938E" w14:textId="77777777" w:rsidR="00B944EB" w:rsidRDefault="00B944EB">
            <w:pPr>
              <w:pStyle w:val="table10"/>
              <w:spacing w:before="120"/>
              <w:jc w:val="center"/>
            </w:pPr>
            <w:r>
              <w:t>70</w:t>
            </w:r>
          </w:p>
        </w:tc>
      </w:tr>
      <w:tr w:rsidR="00B944EB" w14:paraId="774A549B" w14:textId="77777777">
        <w:trPr>
          <w:trHeight w:val="240"/>
        </w:trPr>
        <w:tc>
          <w:tcPr>
            <w:tcW w:w="2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6B8A7" w14:textId="77777777" w:rsidR="00B944EB" w:rsidRDefault="00B944EB">
            <w:pPr>
              <w:pStyle w:val="table10"/>
              <w:spacing w:before="120"/>
            </w:pPr>
            <w:r>
              <w:t xml:space="preserve">2. Идентификационный столбик 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C671" w14:textId="77777777" w:rsidR="00B944EB" w:rsidRDefault="00B944EB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7CCD8" w14:textId="77777777" w:rsidR="00B944EB" w:rsidRDefault="00B944EB">
            <w:pPr>
              <w:pStyle w:val="table10"/>
              <w:spacing w:before="120"/>
              <w:jc w:val="center"/>
            </w:pPr>
            <w:r>
              <w:t>70</w:t>
            </w:r>
          </w:p>
        </w:tc>
      </w:tr>
      <w:tr w:rsidR="00B944EB" w14:paraId="7C61FD52" w14:textId="77777777">
        <w:trPr>
          <w:trHeight w:val="240"/>
        </w:trPr>
        <w:tc>
          <w:tcPr>
            <w:tcW w:w="2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CABDA" w14:textId="77777777" w:rsidR="00B944EB" w:rsidRDefault="00B944EB">
            <w:pPr>
              <w:pStyle w:val="table10"/>
              <w:spacing w:before="120"/>
            </w:pPr>
            <w:r>
              <w:t>3. Крест ритуальный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9B99E" w14:textId="77777777" w:rsidR="00B944EB" w:rsidRDefault="00B944EB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299C4" w14:textId="77777777" w:rsidR="00B944EB" w:rsidRDefault="00B944EB">
            <w:pPr>
              <w:pStyle w:val="table10"/>
              <w:spacing w:before="120"/>
              <w:jc w:val="center"/>
            </w:pPr>
            <w:r>
              <w:t>70</w:t>
            </w:r>
          </w:p>
        </w:tc>
      </w:tr>
      <w:tr w:rsidR="00B944EB" w14:paraId="2045D6F6" w14:textId="77777777">
        <w:trPr>
          <w:trHeight w:val="240"/>
        </w:trPr>
        <w:tc>
          <w:tcPr>
            <w:tcW w:w="21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01C36" w14:textId="77777777" w:rsidR="00B944EB" w:rsidRDefault="00B944EB">
            <w:pPr>
              <w:pStyle w:val="table10"/>
              <w:spacing w:before="120"/>
            </w:pPr>
            <w:r>
              <w:t>4. Тумба ритуальная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3355" w14:textId="77777777" w:rsidR="00B944EB" w:rsidRDefault="00B944EB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93D6B" w14:textId="77777777" w:rsidR="00B944EB" w:rsidRDefault="00B944EB">
            <w:pPr>
              <w:pStyle w:val="table10"/>
              <w:spacing w:before="120"/>
              <w:jc w:val="center"/>
            </w:pPr>
            <w:r>
              <w:t>70</w:t>
            </w:r>
          </w:p>
        </w:tc>
      </w:tr>
    </w:tbl>
    <w:p w14:paraId="325471D7" w14:textId="77777777" w:rsidR="00B944EB" w:rsidRDefault="00B944EB">
      <w:pPr>
        <w:pStyle w:val="newncpi"/>
      </w:pPr>
      <w:r>
        <w:t> </w:t>
      </w:r>
    </w:p>
    <w:p w14:paraId="6CA000BF" w14:textId="77777777" w:rsidR="001822BC" w:rsidRDefault="001822BC"/>
    <w:sectPr w:rsidR="001822BC" w:rsidSect="00B94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BD17" w14:textId="77777777" w:rsidR="009C6B89" w:rsidRDefault="009C6B89" w:rsidP="00B944EB">
      <w:pPr>
        <w:spacing w:after="0" w:line="240" w:lineRule="auto"/>
      </w:pPr>
      <w:r>
        <w:separator/>
      </w:r>
    </w:p>
  </w:endnote>
  <w:endnote w:type="continuationSeparator" w:id="0">
    <w:p w14:paraId="2472E2F2" w14:textId="77777777" w:rsidR="009C6B89" w:rsidRDefault="009C6B89" w:rsidP="00B9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2EA1" w14:textId="77777777" w:rsidR="00B944EB" w:rsidRDefault="00B944E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CE5C" w14:textId="77777777" w:rsidR="00B944EB" w:rsidRDefault="00B944E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BFA9" w14:textId="77777777" w:rsidR="00B944EB" w:rsidRDefault="00B944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8FC7" w14:textId="77777777" w:rsidR="009C6B89" w:rsidRDefault="009C6B89" w:rsidP="00B944EB">
      <w:pPr>
        <w:spacing w:after="0" w:line="240" w:lineRule="auto"/>
      </w:pPr>
      <w:r>
        <w:separator/>
      </w:r>
    </w:p>
  </w:footnote>
  <w:footnote w:type="continuationSeparator" w:id="0">
    <w:p w14:paraId="4960C7EC" w14:textId="77777777" w:rsidR="009C6B89" w:rsidRDefault="009C6B89" w:rsidP="00B9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A114" w14:textId="77777777" w:rsidR="00B944EB" w:rsidRDefault="00B944EB" w:rsidP="00C9661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45C55B71" w14:textId="77777777" w:rsidR="00B944EB" w:rsidRDefault="00B944E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404D" w14:textId="0103A11E" w:rsidR="00B944EB" w:rsidRPr="00B944EB" w:rsidRDefault="00B944EB" w:rsidP="00C96613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B944EB">
      <w:rPr>
        <w:rStyle w:val="af0"/>
        <w:rFonts w:ascii="Times New Roman" w:hAnsi="Times New Roman" w:cs="Times New Roman"/>
        <w:sz w:val="24"/>
      </w:rPr>
      <w:fldChar w:fldCharType="begin"/>
    </w:r>
    <w:r w:rsidRPr="00B944EB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B944EB">
      <w:rPr>
        <w:rStyle w:val="af0"/>
        <w:rFonts w:ascii="Times New Roman" w:hAnsi="Times New Roman" w:cs="Times New Roman"/>
        <w:sz w:val="24"/>
      </w:rPr>
      <w:fldChar w:fldCharType="separate"/>
    </w:r>
    <w:r w:rsidRPr="00B944EB">
      <w:rPr>
        <w:rStyle w:val="af0"/>
        <w:rFonts w:ascii="Times New Roman" w:hAnsi="Times New Roman" w:cs="Times New Roman"/>
        <w:noProof/>
        <w:sz w:val="24"/>
      </w:rPr>
      <w:t>3</w:t>
    </w:r>
    <w:r w:rsidRPr="00B944EB">
      <w:rPr>
        <w:rStyle w:val="af0"/>
        <w:rFonts w:ascii="Times New Roman" w:hAnsi="Times New Roman" w:cs="Times New Roman"/>
        <w:sz w:val="24"/>
      </w:rPr>
      <w:fldChar w:fldCharType="end"/>
    </w:r>
  </w:p>
  <w:p w14:paraId="435B05E9" w14:textId="77777777" w:rsidR="00B944EB" w:rsidRPr="00B944EB" w:rsidRDefault="00B944EB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1CA7" w14:textId="77777777" w:rsidR="00B944EB" w:rsidRDefault="00B944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EB"/>
    <w:rsid w:val="00110EF6"/>
    <w:rsid w:val="00126555"/>
    <w:rsid w:val="001822BC"/>
    <w:rsid w:val="009C6B89"/>
    <w:rsid w:val="00B944EB"/>
    <w:rsid w:val="00CA21A5"/>
    <w:rsid w:val="00F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02BF1"/>
  <w15:chartTrackingRefBased/>
  <w15:docId w15:val="{51160AE5-0474-4FC0-8CC2-B518389C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4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4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4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4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4EB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B944E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B944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B944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B944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B944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B944E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B944EB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ppend1">
    <w:name w:val="append1"/>
    <w:basedOn w:val="a"/>
    <w:rsid w:val="00B944EB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B944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B944E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B944E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944E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944E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944E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944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944EB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9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44EB"/>
  </w:style>
  <w:style w:type="paragraph" w:styleId="ae">
    <w:name w:val="footer"/>
    <w:basedOn w:val="a"/>
    <w:link w:val="af"/>
    <w:uiPriority w:val="99"/>
    <w:unhideWhenUsed/>
    <w:rsid w:val="00B94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44EB"/>
  </w:style>
  <w:style w:type="character" w:styleId="af0">
    <w:name w:val="page number"/>
    <w:basedOn w:val="a0"/>
    <w:uiPriority w:val="99"/>
    <w:semiHidden/>
    <w:unhideWhenUsed/>
    <w:rsid w:val="00B9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5107</Characters>
  <Application>Microsoft Office Word</Application>
  <DocSecurity>0</DocSecurity>
  <Lines>116</Lines>
  <Paragraphs>53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2025-09-19T09:25:00Z</dcterms:created>
  <dcterms:modified xsi:type="dcterms:W3CDTF">2025-09-19T09:26:00Z</dcterms:modified>
</cp:coreProperties>
</file>