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ook w:val="04A0" w:firstRow="1" w:lastRow="0" w:firstColumn="1" w:lastColumn="0" w:noHBand="0" w:noVBand="1"/>
      </w:tblPr>
      <w:tblGrid>
        <w:gridCol w:w="3339"/>
        <w:gridCol w:w="7824"/>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72E4CE4D" w:rsidR="003478F2" w:rsidRPr="00E37CD4" w:rsidRDefault="008820DF" w:rsidP="003478F2">
            <w:pPr>
              <w:ind w:left="476"/>
              <w:jc w:val="center"/>
            </w:pPr>
            <w:r w:rsidRPr="00FD1CFB">
              <w:t>извеща</w:t>
            </w:r>
            <w:r w:rsidR="003478F2" w:rsidRPr="00FD1CFB">
              <w:t xml:space="preserve">ет о проведении 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36B94E3B" w14:textId="5D665FF0" w:rsidR="00A00961" w:rsidRPr="00E37CD4" w:rsidRDefault="00A00961" w:rsidP="00A00961">
            <w:pPr>
              <w:jc w:val="center"/>
            </w:pPr>
            <w:r w:rsidRPr="00E37CD4">
              <w:rPr>
                <w:bCs/>
              </w:rPr>
              <w:t xml:space="preserve"> Аукцион состоится </w:t>
            </w:r>
            <w:r w:rsidR="00454EA0" w:rsidRPr="00454EA0">
              <w:rPr>
                <w:b/>
                <w:bCs/>
                <w:u w:val="single"/>
              </w:rPr>
              <w:t>1</w:t>
            </w:r>
            <w:r w:rsidR="00454EA0">
              <w:rPr>
                <w:b/>
                <w:bCs/>
                <w:u w:val="single"/>
              </w:rPr>
              <w:t>5</w:t>
            </w:r>
            <w:r w:rsidR="007B0721" w:rsidRPr="00454EA0">
              <w:rPr>
                <w:b/>
                <w:u w:val="single"/>
              </w:rPr>
              <w:t xml:space="preserve"> </w:t>
            </w:r>
            <w:r w:rsidR="00454EA0">
              <w:rPr>
                <w:b/>
                <w:u w:val="single"/>
              </w:rPr>
              <w:t>мая</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E37CD4" w:rsidRPr="00E37CD4">
              <w:rPr>
                <w:b/>
                <w:bCs/>
                <w:u w:val="single"/>
              </w:rPr>
              <w:t>3.3</w:t>
            </w:r>
            <w:r w:rsidRPr="00E37CD4">
              <w:rPr>
                <w:b/>
                <w:bCs/>
                <w:u w:val="single"/>
              </w:rPr>
              <w:t>0</w:t>
            </w:r>
            <w:r w:rsidRPr="00E37CD4">
              <w:rPr>
                <w:bCs/>
              </w:rPr>
              <w:t xml:space="preserve"> по адресу: г. Витебск, ул. Свидинского, 4</w:t>
            </w:r>
          </w:p>
          <w:p w14:paraId="0B5BAC7E" w14:textId="3568A6F4" w:rsidR="00633767" w:rsidRPr="00E37CD4" w:rsidRDefault="00633767" w:rsidP="00E37CD4"/>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0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075"/>
              <w:gridCol w:w="2715"/>
            </w:tblGrid>
            <w:tr w:rsidR="00454EA0" w:rsidRPr="00A91ABE" w14:paraId="1E25B63D" w14:textId="77777777" w:rsidTr="00454EA0">
              <w:trPr>
                <w:trHeight w:val="600"/>
              </w:trPr>
              <w:tc>
                <w:tcPr>
                  <w:tcW w:w="1147" w:type="dxa"/>
                  <w:shd w:val="clear" w:color="auto" w:fill="auto"/>
                  <w:vAlign w:val="bottom"/>
                  <w:hideMark/>
                </w:tcPr>
                <w:p w14:paraId="744B8A7A" w14:textId="77777777" w:rsidR="00454EA0" w:rsidRPr="00A91ABE" w:rsidRDefault="00454EA0" w:rsidP="007A062A">
                  <w:pPr>
                    <w:jc w:val="center"/>
                    <w:rPr>
                      <w:color w:val="000000"/>
                      <w:sz w:val="21"/>
                      <w:szCs w:val="21"/>
                    </w:rPr>
                  </w:pPr>
                  <w:r w:rsidRPr="00A91ABE">
                    <w:rPr>
                      <w:color w:val="000000"/>
                      <w:sz w:val="21"/>
                      <w:szCs w:val="21"/>
                    </w:rPr>
                    <w:t>Номер лота</w:t>
                  </w:r>
                </w:p>
                <w:p w14:paraId="110C632F" w14:textId="77777777" w:rsidR="00454EA0" w:rsidRPr="00A91ABE" w:rsidRDefault="00454EA0" w:rsidP="007A062A">
                  <w:pPr>
                    <w:jc w:val="center"/>
                    <w:rPr>
                      <w:color w:val="000000"/>
                      <w:sz w:val="21"/>
                      <w:szCs w:val="21"/>
                    </w:rPr>
                  </w:pPr>
                </w:p>
              </w:tc>
              <w:tc>
                <w:tcPr>
                  <w:tcW w:w="7075" w:type="dxa"/>
                  <w:shd w:val="clear" w:color="auto" w:fill="auto"/>
                  <w:noWrap/>
                  <w:vAlign w:val="bottom"/>
                  <w:hideMark/>
                </w:tcPr>
                <w:p w14:paraId="2345B51A" w14:textId="77777777" w:rsidR="00454EA0" w:rsidRPr="00A91ABE" w:rsidRDefault="00454EA0" w:rsidP="007A062A">
                  <w:pPr>
                    <w:jc w:val="center"/>
                    <w:rPr>
                      <w:color w:val="000000"/>
                      <w:sz w:val="21"/>
                      <w:szCs w:val="21"/>
                    </w:rPr>
                  </w:pPr>
                  <w:r w:rsidRPr="00A91ABE">
                    <w:rPr>
                      <w:color w:val="000000"/>
                      <w:sz w:val="21"/>
                      <w:szCs w:val="21"/>
                    </w:rPr>
                    <w:t>Наименование, характеристика</w:t>
                  </w:r>
                </w:p>
              </w:tc>
              <w:tc>
                <w:tcPr>
                  <w:tcW w:w="2715" w:type="dxa"/>
                  <w:shd w:val="clear" w:color="auto" w:fill="auto"/>
                  <w:noWrap/>
                  <w:vAlign w:val="bottom"/>
                  <w:hideMark/>
                </w:tcPr>
                <w:p w14:paraId="444174AC" w14:textId="77777777" w:rsidR="00454EA0" w:rsidRPr="00A91ABE" w:rsidRDefault="00454EA0" w:rsidP="007A062A">
                  <w:pPr>
                    <w:jc w:val="center"/>
                    <w:rPr>
                      <w:color w:val="000000"/>
                      <w:sz w:val="21"/>
                      <w:szCs w:val="21"/>
                    </w:rPr>
                  </w:pPr>
                  <w:r w:rsidRPr="00A91ABE">
                    <w:rPr>
                      <w:color w:val="000000"/>
                      <w:sz w:val="21"/>
                      <w:szCs w:val="21"/>
                    </w:rPr>
                    <w:t>Начальная цена продажи</w:t>
                  </w:r>
                </w:p>
              </w:tc>
            </w:tr>
            <w:tr w:rsidR="00454EA0" w:rsidRPr="00A91ABE" w14:paraId="5AD092E5" w14:textId="77777777" w:rsidTr="00454EA0">
              <w:trPr>
                <w:trHeight w:val="1237"/>
              </w:trPr>
              <w:tc>
                <w:tcPr>
                  <w:tcW w:w="1147" w:type="dxa"/>
                  <w:shd w:val="clear" w:color="auto" w:fill="auto"/>
                  <w:noWrap/>
                  <w:vAlign w:val="center"/>
                  <w:hideMark/>
                </w:tcPr>
                <w:p w14:paraId="27CD0E24" w14:textId="77777777" w:rsidR="00454EA0" w:rsidRPr="00A91ABE" w:rsidRDefault="00454EA0" w:rsidP="007A062A">
                  <w:pPr>
                    <w:rPr>
                      <w:color w:val="000000"/>
                      <w:sz w:val="21"/>
                      <w:szCs w:val="21"/>
                    </w:rPr>
                  </w:pPr>
                  <w:r w:rsidRPr="00A91ABE">
                    <w:rPr>
                      <w:color w:val="000000"/>
                      <w:sz w:val="21"/>
                      <w:szCs w:val="21"/>
                    </w:rPr>
                    <w:t>Лот №1</w:t>
                  </w:r>
                </w:p>
              </w:tc>
              <w:tc>
                <w:tcPr>
                  <w:tcW w:w="7075" w:type="dxa"/>
                  <w:shd w:val="clear" w:color="auto" w:fill="auto"/>
                  <w:vAlign w:val="center"/>
                  <w:hideMark/>
                </w:tcPr>
                <w:p w14:paraId="00A435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200/D-205807, площадь 51,2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Заречная,5-39, количество комнат-2, этаж-10, 1 подъезд, с отделкой</w:t>
                  </w:r>
                </w:p>
              </w:tc>
              <w:tc>
                <w:tcPr>
                  <w:tcW w:w="2715" w:type="dxa"/>
                  <w:shd w:val="clear" w:color="auto" w:fill="auto"/>
                  <w:vAlign w:val="center"/>
                  <w:hideMark/>
                </w:tcPr>
                <w:p w14:paraId="36A9031A" w14:textId="5D19AFAB" w:rsidR="00454EA0" w:rsidRPr="00A91ABE" w:rsidRDefault="00454EA0" w:rsidP="007A062A">
                  <w:pPr>
                    <w:ind w:right="260"/>
                    <w:jc w:val="center"/>
                    <w:rPr>
                      <w:color w:val="000000"/>
                      <w:sz w:val="21"/>
                      <w:szCs w:val="21"/>
                    </w:rPr>
                  </w:pPr>
                  <w:r w:rsidRPr="00A91ABE">
                    <w:rPr>
                      <w:color w:val="000000"/>
                      <w:sz w:val="21"/>
                      <w:szCs w:val="21"/>
                    </w:rPr>
                    <w:t>139</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CE8D218" w14:textId="77777777" w:rsidR="00454EA0" w:rsidRPr="00A91ABE" w:rsidRDefault="00454EA0" w:rsidP="007A062A">
                  <w:pPr>
                    <w:ind w:right="260"/>
                    <w:jc w:val="center"/>
                    <w:rPr>
                      <w:color w:val="000000"/>
                      <w:sz w:val="21"/>
                      <w:szCs w:val="21"/>
                    </w:rPr>
                  </w:pPr>
                  <w:r w:rsidRPr="00A91ABE">
                    <w:rPr>
                      <w:color w:val="000000"/>
                      <w:sz w:val="21"/>
                      <w:szCs w:val="21"/>
                    </w:rPr>
                    <w:t>(сто тридцать девять тысяч  белорусских рублей)</w:t>
                  </w:r>
                </w:p>
              </w:tc>
            </w:tr>
            <w:tr w:rsidR="00454EA0" w:rsidRPr="00A91ABE" w14:paraId="752C3968" w14:textId="77777777" w:rsidTr="00454EA0">
              <w:trPr>
                <w:trHeight w:val="1113"/>
              </w:trPr>
              <w:tc>
                <w:tcPr>
                  <w:tcW w:w="1147" w:type="dxa"/>
                  <w:shd w:val="clear" w:color="auto" w:fill="auto"/>
                  <w:noWrap/>
                  <w:vAlign w:val="center"/>
                  <w:hideMark/>
                </w:tcPr>
                <w:p w14:paraId="0EA05388" w14:textId="77777777" w:rsidR="00454EA0" w:rsidRPr="00A91ABE" w:rsidRDefault="00454EA0" w:rsidP="007A062A">
                  <w:pPr>
                    <w:rPr>
                      <w:color w:val="000000"/>
                      <w:sz w:val="21"/>
                      <w:szCs w:val="21"/>
                    </w:rPr>
                  </w:pPr>
                  <w:r w:rsidRPr="00A91ABE">
                    <w:rPr>
                      <w:color w:val="000000"/>
                      <w:sz w:val="21"/>
                      <w:szCs w:val="21"/>
                    </w:rPr>
                    <w:t>Лот №2</w:t>
                  </w:r>
                </w:p>
              </w:tc>
              <w:tc>
                <w:tcPr>
                  <w:tcW w:w="7075" w:type="dxa"/>
                  <w:shd w:val="clear" w:color="auto" w:fill="auto"/>
                  <w:vAlign w:val="center"/>
                  <w:hideMark/>
                </w:tcPr>
                <w:p w14:paraId="37B130F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200/D-205808, площадь 68,1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5-49, количество комнат-3, этаж-3, 2 подъезд, с отделкой</w:t>
                  </w:r>
                </w:p>
              </w:tc>
              <w:tc>
                <w:tcPr>
                  <w:tcW w:w="2715" w:type="dxa"/>
                  <w:shd w:val="clear" w:color="auto" w:fill="auto"/>
                  <w:vAlign w:val="center"/>
                  <w:hideMark/>
                </w:tcPr>
                <w:p w14:paraId="23AF71A8" w14:textId="6F090AE4" w:rsidR="00454EA0" w:rsidRPr="00A91ABE" w:rsidRDefault="00454EA0" w:rsidP="007A062A">
                  <w:pPr>
                    <w:ind w:right="260"/>
                    <w:jc w:val="center"/>
                    <w:rPr>
                      <w:color w:val="000000"/>
                      <w:sz w:val="21"/>
                      <w:szCs w:val="21"/>
                    </w:rPr>
                  </w:pPr>
                  <w:r w:rsidRPr="00A91ABE">
                    <w:rPr>
                      <w:color w:val="000000"/>
                      <w:sz w:val="21"/>
                      <w:szCs w:val="21"/>
                    </w:rPr>
                    <w:t>172</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CA80749" w14:textId="77777777" w:rsidR="00454EA0" w:rsidRPr="00A91ABE" w:rsidRDefault="00454EA0" w:rsidP="007A062A">
                  <w:pPr>
                    <w:ind w:right="260"/>
                    <w:jc w:val="center"/>
                    <w:rPr>
                      <w:color w:val="000000"/>
                      <w:sz w:val="21"/>
                      <w:szCs w:val="21"/>
                    </w:rPr>
                  </w:pPr>
                  <w:r w:rsidRPr="00A91ABE">
                    <w:rPr>
                      <w:color w:val="000000"/>
                      <w:sz w:val="21"/>
                      <w:szCs w:val="21"/>
                    </w:rPr>
                    <w:t>(сто семьдесят две  тысячи  белорусских рублей)</w:t>
                  </w:r>
                </w:p>
              </w:tc>
            </w:tr>
            <w:tr w:rsidR="00454EA0" w:rsidRPr="00A91ABE" w14:paraId="4CEB5F47" w14:textId="77777777" w:rsidTr="00454EA0">
              <w:trPr>
                <w:trHeight w:val="1173"/>
              </w:trPr>
              <w:tc>
                <w:tcPr>
                  <w:tcW w:w="1147" w:type="dxa"/>
                  <w:shd w:val="clear" w:color="auto" w:fill="auto"/>
                  <w:noWrap/>
                  <w:vAlign w:val="center"/>
                  <w:hideMark/>
                </w:tcPr>
                <w:p w14:paraId="3CA34C55" w14:textId="77777777" w:rsidR="00454EA0" w:rsidRPr="00A91ABE" w:rsidRDefault="00454EA0" w:rsidP="007A062A">
                  <w:pPr>
                    <w:rPr>
                      <w:color w:val="000000"/>
                      <w:sz w:val="21"/>
                      <w:szCs w:val="21"/>
                    </w:rPr>
                  </w:pPr>
                  <w:r w:rsidRPr="00A91ABE">
                    <w:rPr>
                      <w:color w:val="000000"/>
                      <w:sz w:val="21"/>
                      <w:szCs w:val="21"/>
                    </w:rPr>
                    <w:t>Лот №3</w:t>
                  </w:r>
                </w:p>
              </w:tc>
              <w:tc>
                <w:tcPr>
                  <w:tcW w:w="7075" w:type="dxa"/>
                  <w:shd w:val="clear" w:color="auto" w:fill="auto"/>
                  <w:vAlign w:val="center"/>
                  <w:hideMark/>
                </w:tcPr>
                <w:p w14:paraId="5FB434F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200/D-205809, площадь 58,0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5-64,  количество комнат-2, этаж-6, 2 подъезд, без отделки</w:t>
                  </w:r>
                </w:p>
              </w:tc>
              <w:tc>
                <w:tcPr>
                  <w:tcW w:w="2715" w:type="dxa"/>
                  <w:shd w:val="clear" w:color="auto" w:fill="auto"/>
                  <w:vAlign w:val="center"/>
                  <w:hideMark/>
                </w:tcPr>
                <w:p w14:paraId="1F60CAA3" w14:textId="26B798DC"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5F4AA01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6E07B7F2" w14:textId="77777777" w:rsidTr="00454EA0">
              <w:trPr>
                <w:trHeight w:val="1092"/>
              </w:trPr>
              <w:tc>
                <w:tcPr>
                  <w:tcW w:w="1147" w:type="dxa"/>
                  <w:shd w:val="clear" w:color="auto" w:fill="auto"/>
                  <w:noWrap/>
                  <w:vAlign w:val="center"/>
                  <w:hideMark/>
                </w:tcPr>
                <w:p w14:paraId="7CB2FBFC" w14:textId="77777777" w:rsidR="00454EA0" w:rsidRPr="00A91ABE" w:rsidRDefault="00454EA0" w:rsidP="007A062A">
                  <w:pPr>
                    <w:rPr>
                      <w:color w:val="000000"/>
                      <w:sz w:val="21"/>
                      <w:szCs w:val="21"/>
                    </w:rPr>
                  </w:pPr>
                  <w:r w:rsidRPr="00A91ABE">
                    <w:rPr>
                      <w:color w:val="000000"/>
                      <w:sz w:val="21"/>
                      <w:szCs w:val="21"/>
                    </w:rPr>
                    <w:t>Лот №4</w:t>
                  </w:r>
                </w:p>
              </w:tc>
              <w:tc>
                <w:tcPr>
                  <w:tcW w:w="7075" w:type="dxa"/>
                  <w:shd w:val="clear" w:color="auto" w:fill="auto"/>
                  <w:vAlign w:val="center"/>
                  <w:hideMark/>
                </w:tcPr>
                <w:p w14:paraId="7979E08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200/D-205745, площадь 57,7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5-68,   количество комнат-2, этаж-7, 2 подъезд, без отделки</w:t>
                  </w:r>
                </w:p>
              </w:tc>
              <w:tc>
                <w:tcPr>
                  <w:tcW w:w="2715" w:type="dxa"/>
                  <w:shd w:val="clear" w:color="auto" w:fill="auto"/>
                  <w:vAlign w:val="center"/>
                  <w:hideMark/>
                </w:tcPr>
                <w:p w14:paraId="53A800D9" w14:textId="6C6C98A5" w:rsidR="00454EA0" w:rsidRPr="00A91ABE" w:rsidRDefault="00454EA0" w:rsidP="007A062A">
                  <w:pPr>
                    <w:ind w:right="260"/>
                    <w:jc w:val="center"/>
                    <w:rPr>
                      <w:color w:val="000000"/>
                      <w:sz w:val="21"/>
                      <w:szCs w:val="21"/>
                    </w:rPr>
                  </w:pPr>
                  <w:r w:rsidRPr="00A91ABE">
                    <w:rPr>
                      <w:color w:val="000000"/>
                      <w:sz w:val="21"/>
                      <w:szCs w:val="21"/>
                    </w:rPr>
                    <w:t>144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6F356244" w14:textId="77777777" w:rsidR="00454EA0" w:rsidRPr="00A91ABE" w:rsidRDefault="00454EA0" w:rsidP="007A062A">
                  <w:pPr>
                    <w:ind w:right="260"/>
                    <w:jc w:val="center"/>
                    <w:rPr>
                      <w:color w:val="000000"/>
                      <w:sz w:val="21"/>
                      <w:szCs w:val="21"/>
                    </w:rPr>
                  </w:pPr>
                  <w:r w:rsidRPr="00A91ABE">
                    <w:rPr>
                      <w:color w:val="000000"/>
                      <w:sz w:val="21"/>
                      <w:szCs w:val="21"/>
                    </w:rPr>
                    <w:t>(сто сорок четыре тысячи  белорусских рублей)</w:t>
                  </w:r>
                </w:p>
              </w:tc>
            </w:tr>
            <w:tr w:rsidR="00454EA0" w:rsidRPr="00A91ABE" w14:paraId="3B815EBC" w14:textId="77777777" w:rsidTr="00454EA0">
              <w:trPr>
                <w:trHeight w:val="1152"/>
              </w:trPr>
              <w:tc>
                <w:tcPr>
                  <w:tcW w:w="1147" w:type="dxa"/>
                  <w:shd w:val="clear" w:color="auto" w:fill="auto"/>
                  <w:noWrap/>
                  <w:vAlign w:val="center"/>
                  <w:hideMark/>
                </w:tcPr>
                <w:p w14:paraId="3928B8AC" w14:textId="77777777" w:rsidR="00454EA0" w:rsidRPr="00A91ABE" w:rsidRDefault="00454EA0" w:rsidP="007A062A">
                  <w:pPr>
                    <w:rPr>
                      <w:color w:val="000000"/>
                      <w:sz w:val="21"/>
                      <w:szCs w:val="21"/>
                    </w:rPr>
                  </w:pPr>
                  <w:r w:rsidRPr="00A91ABE">
                    <w:rPr>
                      <w:color w:val="000000"/>
                      <w:sz w:val="21"/>
                      <w:szCs w:val="21"/>
                    </w:rPr>
                    <w:t>Лот №5</w:t>
                  </w:r>
                </w:p>
              </w:tc>
              <w:tc>
                <w:tcPr>
                  <w:tcW w:w="7075" w:type="dxa"/>
                  <w:shd w:val="clear" w:color="auto" w:fill="auto"/>
                  <w:vAlign w:val="center"/>
                  <w:hideMark/>
                </w:tcPr>
                <w:p w14:paraId="6A417EC4"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200/D-205746, площадь 58,1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5-76,  количество комнат-2, этаж-9, 2 подъезд, без отделки</w:t>
                  </w:r>
                </w:p>
              </w:tc>
              <w:tc>
                <w:tcPr>
                  <w:tcW w:w="2715" w:type="dxa"/>
                  <w:shd w:val="clear" w:color="auto" w:fill="auto"/>
                  <w:vAlign w:val="center"/>
                  <w:hideMark/>
                </w:tcPr>
                <w:p w14:paraId="6DA90EB3" w14:textId="5B5D63C0"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9A5DFA4" w14:textId="77777777" w:rsidR="00454EA0" w:rsidRPr="00A91ABE" w:rsidRDefault="00454EA0" w:rsidP="007A062A">
                  <w:pPr>
                    <w:ind w:right="260"/>
                    <w:jc w:val="center"/>
                    <w:rPr>
                      <w:color w:val="000000"/>
                      <w:sz w:val="21"/>
                      <w:szCs w:val="21"/>
                    </w:rPr>
                  </w:pPr>
                  <w:r w:rsidRPr="00A91ABE">
                    <w:rPr>
                      <w:color w:val="000000"/>
                      <w:sz w:val="21"/>
                      <w:szCs w:val="21"/>
                    </w:rPr>
                    <w:t>(сто сорок пять тысяч  белорусских рублей)</w:t>
                  </w:r>
                </w:p>
              </w:tc>
            </w:tr>
            <w:tr w:rsidR="00454EA0" w:rsidRPr="00A91ABE" w14:paraId="467D37E8" w14:textId="77777777" w:rsidTr="00454EA0">
              <w:trPr>
                <w:trHeight w:val="1211"/>
              </w:trPr>
              <w:tc>
                <w:tcPr>
                  <w:tcW w:w="1147" w:type="dxa"/>
                  <w:shd w:val="clear" w:color="auto" w:fill="auto"/>
                  <w:noWrap/>
                  <w:vAlign w:val="center"/>
                  <w:hideMark/>
                </w:tcPr>
                <w:p w14:paraId="6D1C2910" w14:textId="77777777" w:rsidR="00454EA0" w:rsidRPr="00A91ABE" w:rsidRDefault="00454EA0" w:rsidP="007A062A">
                  <w:pPr>
                    <w:rPr>
                      <w:color w:val="000000"/>
                      <w:sz w:val="21"/>
                      <w:szCs w:val="21"/>
                    </w:rPr>
                  </w:pPr>
                  <w:r w:rsidRPr="00A91ABE">
                    <w:rPr>
                      <w:color w:val="000000"/>
                      <w:sz w:val="21"/>
                      <w:szCs w:val="21"/>
                    </w:rPr>
                    <w:t>Лот №6</w:t>
                  </w:r>
                </w:p>
              </w:tc>
              <w:tc>
                <w:tcPr>
                  <w:tcW w:w="7075" w:type="dxa"/>
                  <w:shd w:val="clear" w:color="auto" w:fill="auto"/>
                  <w:vAlign w:val="center"/>
                  <w:hideMark/>
                </w:tcPr>
                <w:p w14:paraId="6C6031B0"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200/D-205747, площадь 37,1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5-79,  количество комнат-1, этаж-10, 2 подъезд, с отделкой</w:t>
                  </w:r>
                </w:p>
              </w:tc>
              <w:tc>
                <w:tcPr>
                  <w:tcW w:w="2715" w:type="dxa"/>
                  <w:shd w:val="clear" w:color="auto" w:fill="auto"/>
                  <w:vAlign w:val="center"/>
                  <w:hideMark/>
                </w:tcPr>
                <w:p w14:paraId="415F15EA" w14:textId="68415949" w:rsidR="00454EA0" w:rsidRPr="00A91ABE" w:rsidRDefault="00454EA0" w:rsidP="007A062A">
                  <w:pPr>
                    <w:ind w:right="260"/>
                    <w:jc w:val="center"/>
                    <w:rPr>
                      <w:color w:val="000000"/>
                      <w:sz w:val="21"/>
                      <w:szCs w:val="21"/>
                    </w:rPr>
                  </w:pPr>
                  <w:r w:rsidRPr="00A91ABE">
                    <w:rPr>
                      <w:color w:val="000000"/>
                      <w:sz w:val="21"/>
                      <w:szCs w:val="21"/>
                    </w:rPr>
                    <w:t>97</w:t>
                  </w:r>
                  <w:r w:rsidR="00FE2F54">
                    <w:rPr>
                      <w:color w:val="000000"/>
                      <w:sz w:val="21"/>
                      <w:szCs w:val="21"/>
                    </w:rPr>
                    <w:t> </w:t>
                  </w:r>
                  <w:r w:rsidRPr="00A91ABE">
                    <w:rPr>
                      <w:color w:val="000000"/>
                      <w:sz w:val="21"/>
                      <w:szCs w:val="21"/>
                    </w:rPr>
                    <w:t>100</w:t>
                  </w:r>
                  <w:r w:rsidR="00FE2F54">
                    <w:rPr>
                      <w:color w:val="000000"/>
                      <w:sz w:val="21"/>
                      <w:szCs w:val="21"/>
                    </w:rPr>
                    <w:t>,00</w:t>
                  </w:r>
                </w:p>
                <w:p w14:paraId="77D877EA"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семь тысяч сто  белорусских рублей)</w:t>
                  </w:r>
                </w:p>
              </w:tc>
            </w:tr>
            <w:tr w:rsidR="00454EA0" w:rsidRPr="00A91ABE" w14:paraId="01C6575B" w14:textId="77777777" w:rsidTr="00454EA0">
              <w:trPr>
                <w:trHeight w:val="1129"/>
              </w:trPr>
              <w:tc>
                <w:tcPr>
                  <w:tcW w:w="1147" w:type="dxa"/>
                  <w:shd w:val="clear" w:color="auto" w:fill="auto"/>
                  <w:noWrap/>
                  <w:vAlign w:val="center"/>
                  <w:hideMark/>
                </w:tcPr>
                <w:p w14:paraId="4CD68856" w14:textId="77777777" w:rsidR="00454EA0" w:rsidRPr="00A91ABE" w:rsidRDefault="00454EA0" w:rsidP="007A062A">
                  <w:pPr>
                    <w:rPr>
                      <w:color w:val="000000"/>
                      <w:sz w:val="21"/>
                      <w:szCs w:val="21"/>
                    </w:rPr>
                  </w:pPr>
                  <w:r w:rsidRPr="00A91ABE">
                    <w:rPr>
                      <w:color w:val="000000"/>
                      <w:sz w:val="21"/>
                      <w:szCs w:val="21"/>
                    </w:rPr>
                    <w:t>Лот №7</w:t>
                  </w:r>
                </w:p>
              </w:tc>
              <w:tc>
                <w:tcPr>
                  <w:tcW w:w="7075" w:type="dxa"/>
                  <w:shd w:val="clear" w:color="auto" w:fill="auto"/>
                  <w:vAlign w:val="center"/>
                  <w:hideMark/>
                </w:tcPr>
                <w:p w14:paraId="5D3928E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200/D-205810, площадь 58,0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5-93,  количество комнат-2, этаж-4, 3 подъезд, без отделки</w:t>
                  </w:r>
                </w:p>
              </w:tc>
              <w:tc>
                <w:tcPr>
                  <w:tcW w:w="2715" w:type="dxa"/>
                  <w:shd w:val="clear" w:color="auto" w:fill="auto"/>
                  <w:vAlign w:val="center"/>
                  <w:hideMark/>
                </w:tcPr>
                <w:p w14:paraId="74E301B4" w14:textId="791F1DB9"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43C543C9"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4E8492C1" w14:textId="77777777" w:rsidTr="00454EA0">
              <w:trPr>
                <w:trHeight w:val="1175"/>
              </w:trPr>
              <w:tc>
                <w:tcPr>
                  <w:tcW w:w="1147" w:type="dxa"/>
                  <w:shd w:val="clear" w:color="auto" w:fill="auto"/>
                  <w:noWrap/>
                  <w:vAlign w:val="center"/>
                  <w:hideMark/>
                </w:tcPr>
                <w:p w14:paraId="3111EFAA" w14:textId="77777777" w:rsidR="00454EA0" w:rsidRPr="00A91ABE" w:rsidRDefault="00454EA0" w:rsidP="007A062A">
                  <w:pPr>
                    <w:rPr>
                      <w:color w:val="000000"/>
                      <w:sz w:val="21"/>
                      <w:szCs w:val="21"/>
                    </w:rPr>
                  </w:pPr>
                  <w:r w:rsidRPr="00A91ABE">
                    <w:rPr>
                      <w:color w:val="000000"/>
                      <w:sz w:val="21"/>
                      <w:szCs w:val="21"/>
                    </w:rPr>
                    <w:t>Лот №8</w:t>
                  </w:r>
                </w:p>
              </w:tc>
              <w:tc>
                <w:tcPr>
                  <w:tcW w:w="7075" w:type="dxa"/>
                  <w:shd w:val="clear" w:color="auto" w:fill="auto"/>
                  <w:vAlign w:val="center"/>
                  <w:hideMark/>
                </w:tcPr>
                <w:p w14:paraId="182409A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200/D-205811, площадь 57,9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5-97,  количество комнат-2, этаж-5, 3 подъезд, без отделки</w:t>
                  </w:r>
                </w:p>
              </w:tc>
              <w:tc>
                <w:tcPr>
                  <w:tcW w:w="2715" w:type="dxa"/>
                  <w:shd w:val="clear" w:color="auto" w:fill="auto"/>
                  <w:vAlign w:val="center"/>
                  <w:hideMark/>
                </w:tcPr>
                <w:p w14:paraId="3994162D" w14:textId="16A1CAB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01239E82" w14:textId="77777777" w:rsidR="00454EA0" w:rsidRPr="00A91ABE" w:rsidRDefault="00454EA0" w:rsidP="007A062A">
                  <w:pPr>
                    <w:ind w:right="260"/>
                    <w:jc w:val="center"/>
                    <w:rPr>
                      <w:color w:val="000000"/>
                      <w:sz w:val="21"/>
                      <w:szCs w:val="21"/>
                    </w:rPr>
                  </w:pPr>
                  <w:r w:rsidRPr="00A91ABE">
                    <w:rPr>
                      <w:color w:val="000000"/>
                      <w:sz w:val="21"/>
                      <w:szCs w:val="21"/>
                    </w:rPr>
                    <w:t>(сто сорок пять тысяч  белорусских рублей)</w:t>
                  </w:r>
                </w:p>
              </w:tc>
            </w:tr>
            <w:tr w:rsidR="00454EA0" w:rsidRPr="00A91ABE" w14:paraId="4FDEF31A" w14:textId="77777777" w:rsidTr="00454EA0">
              <w:trPr>
                <w:trHeight w:val="1235"/>
              </w:trPr>
              <w:tc>
                <w:tcPr>
                  <w:tcW w:w="1147" w:type="dxa"/>
                  <w:shd w:val="clear" w:color="auto" w:fill="auto"/>
                  <w:noWrap/>
                  <w:vAlign w:val="center"/>
                  <w:hideMark/>
                </w:tcPr>
                <w:p w14:paraId="4EFED26D" w14:textId="77777777" w:rsidR="00454EA0" w:rsidRPr="00A91ABE" w:rsidRDefault="00454EA0" w:rsidP="007A062A">
                  <w:pPr>
                    <w:rPr>
                      <w:color w:val="000000"/>
                      <w:sz w:val="21"/>
                      <w:szCs w:val="21"/>
                    </w:rPr>
                  </w:pPr>
                  <w:r w:rsidRPr="00A91ABE">
                    <w:rPr>
                      <w:color w:val="000000"/>
                      <w:sz w:val="21"/>
                      <w:szCs w:val="21"/>
                    </w:rPr>
                    <w:t>Лот №9</w:t>
                  </w:r>
                </w:p>
              </w:tc>
              <w:tc>
                <w:tcPr>
                  <w:tcW w:w="7075" w:type="dxa"/>
                  <w:shd w:val="clear" w:color="auto" w:fill="auto"/>
                  <w:vAlign w:val="center"/>
                  <w:hideMark/>
                </w:tcPr>
                <w:p w14:paraId="20DB7C8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200/D-205812, площадь 57,9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5-101,  количество комнат-2, этаж-6, 3 подъезд, без отделки</w:t>
                  </w:r>
                </w:p>
              </w:tc>
              <w:tc>
                <w:tcPr>
                  <w:tcW w:w="2715" w:type="dxa"/>
                  <w:shd w:val="clear" w:color="auto" w:fill="auto"/>
                  <w:vAlign w:val="center"/>
                  <w:hideMark/>
                </w:tcPr>
                <w:p w14:paraId="1F446A0F" w14:textId="260CBA17"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1EA58B55"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75597192" w14:textId="77777777" w:rsidTr="00454EA0">
              <w:trPr>
                <w:trHeight w:val="1128"/>
              </w:trPr>
              <w:tc>
                <w:tcPr>
                  <w:tcW w:w="1147" w:type="dxa"/>
                  <w:shd w:val="clear" w:color="auto" w:fill="auto"/>
                  <w:noWrap/>
                  <w:vAlign w:val="center"/>
                  <w:hideMark/>
                </w:tcPr>
                <w:p w14:paraId="37210144" w14:textId="77777777" w:rsidR="00454EA0" w:rsidRPr="00A91ABE" w:rsidRDefault="00454EA0" w:rsidP="007A062A">
                  <w:pPr>
                    <w:rPr>
                      <w:color w:val="000000"/>
                      <w:sz w:val="21"/>
                      <w:szCs w:val="21"/>
                    </w:rPr>
                  </w:pPr>
                  <w:r w:rsidRPr="00A91ABE">
                    <w:rPr>
                      <w:color w:val="000000"/>
                      <w:sz w:val="21"/>
                      <w:szCs w:val="21"/>
                    </w:rPr>
                    <w:t>Лот №10</w:t>
                  </w:r>
                </w:p>
              </w:tc>
              <w:tc>
                <w:tcPr>
                  <w:tcW w:w="7075" w:type="dxa"/>
                  <w:shd w:val="clear" w:color="auto" w:fill="auto"/>
                  <w:vAlign w:val="center"/>
                  <w:hideMark/>
                </w:tcPr>
                <w:p w14:paraId="083A58D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200/D-205790, площадь 57,8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5-105,  количество комнат-2, этаж-7, 3 подъезд, без отделки</w:t>
                  </w:r>
                </w:p>
              </w:tc>
              <w:tc>
                <w:tcPr>
                  <w:tcW w:w="2715" w:type="dxa"/>
                  <w:shd w:val="clear" w:color="auto" w:fill="auto"/>
                  <w:vAlign w:val="center"/>
                  <w:hideMark/>
                </w:tcPr>
                <w:p w14:paraId="416FAA84" w14:textId="7E08CFEB" w:rsidR="00454EA0" w:rsidRPr="00A91ABE" w:rsidRDefault="00454EA0" w:rsidP="007A062A">
                  <w:pPr>
                    <w:ind w:right="260"/>
                    <w:jc w:val="center"/>
                    <w:rPr>
                      <w:color w:val="000000"/>
                      <w:sz w:val="21"/>
                      <w:szCs w:val="21"/>
                    </w:rPr>
                  </w:pPr>
                  <w:r w:rsidRPr="00A91ABE">
                    <w:rPr>
                      <w:color w:val="000000"/>
                      <w:sz w:val="21"/>
                      <w:szCs w:val="21"/>
                    </w:rPr>
                    <w:t>145</w:t>
                  </w:r>
                  <w:r w:rsidR="00FE2F54">
                    <w:rPr>
                      <w:color w:val="000000"/>
                      <w:sz w:val="21"/>
                      <w:szCs w:val="21"/>
                    </w:rPr>
                    <w:t> </w:t>
                  </w:r>
                  <w:r w:rsidRPr="00A91ABE">
                    <w:rPr>
                      <w:color w:val="000000"/>
                      <w:sz w:val="21"/>
                      <w:szCs w:val="21"/>
                    </w:rPr>
                    <w:t>000</w:t>
                  </w:r>
                  <w:r w:rsidR="00FE2F54">
                    <w:rPr>
                      <w:color w:val="000000"/>
                      <w:sz w:val="21"/>
                      <w:szCs w:val="21"/>
                    </w:rPr>
                    <w:t>,00</w:t>
                  </w:r>
                </w:p>
                <w:p w14:paraId="73ED6570"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сорок пять  тысяч  белорусских рублей)</w:t>
                  </w:r>
                </w:p>
              </w:tc>
            </w:tr>
            <w:tr w:rsidR="00454EA0" w:rsidRPr="00A91ABE" w14:paraId="12A28AAC" w14:textId="77777777" w:rsidTr="00454EA0">
              <w:trPr>
                <w:trHeight w:val="1201"/>
              </w:trPr>
              <w:tc>
                <w:tcPr>
                  <w:tcW w:w="1147" w:type="dxa"/>
                  <w:shd w:val="clear" w:color="auto" w:fill="auto"/>
                  <w:noWrap/>
                  <w:vAlign w:val="center"/>
                  <w:hideMark/>
                </w:tcPr>
                <w:p w14:paraId="0366DFDC" w14:textId="77777777" w:rsidR="00454EA0" w:rsidRPr="00A91ABE" w:rsidRDefault="00454EA0" w:rsidP="007A062A">
                  <w:pPr>
                    <w:rPr>
                      <w:color w:val="000000"/>
                      <w:sz w:val="21"/>
                      <w:szCs w:val="21"/>
                    </w:rPr>
                  </w:pPr>
                  <w:r w:rsidRPr="00A91ABE">
                    <w:rPr>
                      <w:color w:val="000000"/>
                      <w:sz w:val="21"/>
                      <w:szCs w:val="21"/>
                    </w:rPr>
                    <w:lastRenderedPageBreak/>
                    <w:t>Лот №11</w:t>
                  </w:r>
                </w:p>
              </w:tc>
              <w:tc>
                <w:tcPr>
                  <w:tcW w:w="7075" w:type="dxa"/>
                  <w:shd w:val="clear" w:color="auto" w:fill="auto"/>
                  <w:vAlign w:val="center"/>
                  <w:hideMark/>
                </w:tcPr>
                <w:p w14:paraId="1CA6AB1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200/D-205791, площадь 37,0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5-111,  количество комнат-1, этаж-8, 3 подъезд, с отделкой</w:t>
                  </w:r>
                </w:p>
              </w:tc>
              <w:tc>
                <w:tcPr>
                  <w:tcW w:w="2715" w:type="dxa"/>
                  <w:shd w:val="clear" w:color="auto" w:fill="auto"/>
                  <w:vAlign w:val="center"/>
                  <w:hideMark/>
                </w:tcPr>
                <w:p w14:paraId="40FED66B" w14:textId="7E5F1A78" w:rsidR="00454EA0" w:rsidRPr="00A91ABE" w:rsidRDefault="00454EA0" w:rsidP="007A062A">
                  <w:pPr>
                    <w:ind w:right="260"/>
                    <w:jc w:val="center"/>
                    <w:rPr>
                      <w:color w:val="000000"/>
                      <w:sz w:val="21"/>
                      <w:szCs w:val="21"/>
                    </w:rPr>
                  </w:pPr>
                  <w:r w:rsidRPr="00A91ABE">
                    <w:rPr>
                      <w:color w:val="000000"/>
                      <w:sz w:val="21"/>
                      <w:szCs w:val="21"/>
                    </w:rPr>
                    <w:t>98</w:t>
                  </w:r>
                  <w:r w:rsidR="00FE2F54">
                    <w:rPr>
                      <w:color w:val="000000"/>
                      <w:sz w:val="21"/>
                      <w:szCs w:val="21"/>
                    </w:rPr>
                    <w:t> </w:t>
                  </w:r>
                  <w:r w:rsidRPr="00A91ABE">
                    <w:rPr>
                      <w:color w:val="000000"/>
                      <w:sz w:val="21"/>
                      <w:szCs w:val="21"/>
                    </w:rPr>
                    <w:t>900</w:t>
                  </w:r>
                  <w:r w:rsidR="00FE2F54">
                    <w:rPr>
                      <w:color w:val="000000"/>
                      <w:sz w:val="21"/>
                      <w:szCs w:val="21"/>
                    </w:rPr>
                    <w:t>,00</w:t>
                  </w:r>
                </w:p>
                <w:p w14:paraId="0B7495C6"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восемь тысяч девятьсот  белорусских рублей)</w:t>
                  </w:r>
                </w:p>
              </w:tc>
            </w:tr>
            <w:tr w:rsidR="00454EA0" w:rsidRPr="00A91ABE" w14:paraId="633ACFAE" w14:textId="77777777" w:rsidTr="00454EA0">
              <w:trPr>
                <w:trHeight w:val="954"/>
              </w:trPr>
              <w:tc>
                <w:tcPr>
                  <w:tcW w:w="1147" w:type="dxa"/>
                  <w:shd w:val="clear" w:color="auto" w:fill="auto"/>
                  <w:noWrap/>
                  <w:vAlign w:val="center"/>
                  <w:hideMark/>
                </w:tcPr>
                <w:p w14:paraId="00AEB5BD" w14:textId="77777777" w:rsidR="00454EA0" w:rsidRPr="00A91ABE" w:rsidRDefault="00454EA0" w:rsidP="007A062A">
                  <w:pPr>
                    <w:rPr>
                      <w:color w:val="000000"/>
                      <w:sz w:val="21"/>
                      <w:szCs w:val="21"/>
                    </w:rPr>
                  </w:pPr>
                  <w:r w:rsidRPr="00A91ABE">
                    <w:rPr>
                      <w:color w:val="000000"/>
                      <w:sz w:val="21"/>
                      <w:szCs w:val="21"/>
                    </w:rPr>
                    <w:t>Лот №12</w:t>
                  </w:r>
                </w:p>
              </w:tc>
              <w:tc>
                <w:tcPr>
                  <w:tcW w:w="7075" w:type="dxa"/>
                  <w:shd w:val="clear" w:color="auto" w:fill="auto"/>
                  <w:vAlign w:val="center"/>
                  <w:hideMark/>
                </w:tcPr>
                <w:p w14:paraId="497ED18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200/D-205792, площадь 37,2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5-115,  количество комнат-1, этаж-9, 3 подъезд, с отделкой</w:t>
                  </w:r>
                </w:p>
              </w:tc>
              <w:tc>
                <w:tcPr>
                  <w:tcW w:w="2715" w:type="dxa"/>
                  <w:shd w:val="clear" w:color="auto" w:fill="auto"/>
                  <w:vAlign w:val="center"/>
                  <w:hideMark/>
                </w:tcPr>
                <w:p w14:paraId="2139E96A" w14:textId="29450D8B" w:rsidR="00454EA0" w:rsidRPr="00A91ABE" w:rsidRDefault="00454EA0" w:rsidP="007A062A">
                  <w:pPr>
                    <w:ind w:right="260"/>
                    <w:jc w:val="center"/>
                    <w:rPr>
                      <w:color w:val="000000"/>
                      <w:sz w:val="21"/>
                      <w:szCs w:val="21"/>
                    </w:rPr>
                  </w:pPr>
                  <w:r w:rsidRPr="00A91ABE">
                    <w:rPr>
                      <w:color w:val="000000"/>
                      <w:sz w:val="21"/>
                      <w:szCs w:val="21"/>
                    </w:rPr>
                    <w:t>99</w:t>
                  </w:r>
                  <w:r w:rsidR="00FE2F54">
                    <w:rPr>
                      <w:color w:val="000000"/>
                      <w:sz w:val="21"/>
                      <w:szCs w:val="21"/>
                    </w:rPr>
                    <w:t> </w:t>
                  </w:r>
                  <w:r w:rsidRPr="00A91ABE">
                    <w:rPr>
                      <w:color w:val="000000"/>
                      <w:sz w:val="21"/>
                      <w:szCs w:val="21"/>
                    </w:rPr>
                    <w:t>400</w:t>
                  </w:r>
                  <w:r w:rsidR="00FE2F54">
                    <w:rPr>
                      <w:color w:val="000000"/>
                      <w:sz w:val="21"/>
                      <w:szCs w:val="21"/>
                    </w:rPr>
                    <w:t>,00</w:t>
                  </w:r>
                </w:p>
                <w:p w14:paraId="45BC489F" w14:textId="77777777" w:rsidR="00454EA0" w:rsidRPr="00A91ABE" w:rsidRDefault="00454EA0" w:rsidP="007A062A">
                  <w:pPr>
                    <w:ind w:right="260"/>
                    <w:jc w:val="center"/>
                    <w:rPr>
                      <w:color w:val="000000"/>
                      <w:sz w:val="21"/>
                      <w:szCs w:val="21"/>
                    </w:rPr>
                  </w:pPr>
                  <w:r w:rsidRPr="00A91ABE">
                    <w:rPr>
                      <w:color w:val="000000"/>
                      <w:sz w:val="21"/>
                      <w:szCs w:val="21"/>
                    </w:rPr>
                    <w:t xml:space="preserve"> (девяносто девять  тысяч  четыреста белорусских рублей)</w:t>
                  </w:r>
                </w:p>
              </w:tc>
            </w:tr>
            <w:tr w:rsidR="00454EA0" w:rsidRPr="00A91ABE" w14:paraId="60CE26F7" w14:textId="77777777" w:rsidTr="00454EA0">
              <w:trPr>
                <w:trHeight w:val="1165"/>
              </w:trPr>
              <w:tc>
                <w:tcPr>
                  <w:tcW w:w="1147" w:type="dxa"/>
                  <w:shd w:val="clear" w:color="auto" w:fill="auto"/>
                  <w:noWrap/>
                  <w:vAlign w:val="center"/>
                  <w:hideMark/>
                </w:tcPr>
                <w:p w14:paraId="623E30D5" w14:textId="77777777" w:rsidR="00454EA0" w:rsidRPr="00A91ABE" w:rsidRDefault="00454EA0" w:rsidP="007A062A">
                  <w:pPr>
                    <w:rPr>
                      <w:color w:val="000000"/>
                      <w:sz w:val="21"/>
                      <w:szCs w:val="21"/>
                    </w:rPr>
                  </w:pPr>
                  <w:r w:rsidRPr="00A91ABE">
                    <w:rPr>
                      <w:color w:val="000000"/>
                      <w:sz w:val="21"/>
                      <w:szCs w:val="21"/>
                    </w:rPr>
                    <w:t>Лот №13</w:t>
                  </w:r>
                </w:p>
              </w:tc>
              <w:tc>
                <w:tcPr>
                  <w:tcW w:w="7075" w:type="dxa"/>
                  <w:shd w:val="clear" w:color="auto" w:fill="auto"/>
                  <w:vAlign w:val="center"/>
                  <w:hideMark/>
                </w:tcPr>
                <w:p w14:paraId="06E4476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200/D-205840, площадь 37,0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5-118,  количество комнат-1, этаж-10, 3 подъезд, с отделкой</w:t>
                  </w:r>
                </w:p>
              </w:tc>
              <w:tc>
                <w:tcPr>
                  <w:tcW w:w="2715" w:type="dxa"/>
                  <w:shd w:val="clear" w:color="auto" w:fill="auto"/>
                  <w:vAlign w:val="center"/>
                  <w:hideMark/>
                </w:tcPr>
                <w:p w14:paraId="7E94F796" w14:textId="1103014C" w:rsidR="00454EA0" w:rsidRPr="00A91ABE" w:rsidRDefault="00454EA0" w:rsidP="007A062A">
                  <w:pPr>
                    <w:ind w:right="260"/>
                    <w:jc w:val="center"/>
                    <w:rPr>
                      <w:color w:val="000000"/>
                      <w:sz w:val="21"/>
                      <w:szCs w:val="21"/>
                    </w:rPr>
                  </w:pPr>
                  <w:r w:rsidRPr="00A91ABE">
                    <w:rPr>
                      <w:color w:val="000000"/>
                      <w:sz w:val="21"/>
                      <w:szCs w:val="21"/>
                    </w:rPr>
                    <w:t>96</w:t>
                  </w:r>
                  <w:r w:rsidR="00FE2F54">
                    <w:rPr>
                      <w:color w:val="000000"/>
                      <w:sz w:val="21"/>
                      <w:szCs w:val="21"/>
                    </w:rPr>
                    <w:t> </w:t>
                  </w:r>
                  <w:r w:rsidRPr="00A91ABE">
                    <w:rPr>
                      <w:color w:val="000000"/>
                      <w:sz w:val="21"/>
                      <w:szCs w:val="21"/>
                    </w:rPr>
                    <w:t>900</w:t>
                  </w:r>
                  <w:r w:rsidR="00FE2F54">
                    <w:rPr>
                      <w:color w:val="000000"/>
                      <w:sz w:val="21"/>
                      <w:szCs w:val="21"/>
                    </w:rPr>
                    <w:t>,00</w:t>
                  </w:r>
                  <w:r w:rsidRPr="00A91ABE">
                    <w:rPr>
                      <w:color w:val="000000"/>
                      <w:sz w:val="21"/>
                      <w:szCs w:val="21"/>
                    </w:rPr>
                    <w:t xml:space="preserve"> </w:t>
                  </w:r>
                </w:p>
                <w:p w14:paraId="33EB3146" w14:textId="77777777" w:rsidR="00454EA0" w:rsidRPr="00A91ABE" w:rsidRDefault="00454EA0" w:rsidP="007A062A">
                  <w:pPr>
                    <w:ind w:right="260"/>
                    <w:jc w:val="center"/>
                    <w:rPr>
                      <w:color w:val="000000"/>
                      <w:sz w:val="21"/>
                      <w:szCs w:val="21"/>
                    </w:rPr>
                  </w:pPr>
                  <w:r w:rsidRPr="00A91ABE">
                    <w:rPr>
                      <w:color w:val="000000"/>
                      <w:sz w:val="21"/>
                      <w:szCs w:val="21"/>
                    </w:rPr>
                    <w:t>(девяносто шесть тысяч девятьсот  белорусских рублей)</w:t>
                  </w:r>
                </w:p>
              </w:tc>
            </w:tr>
            <w:tr w:rsidR="00454EA0" w:rsidRPr="00A91ABE" w14:paraId="391D9D84" w14:textId="77777777" w:rsidTr="00454EA0">
              <w:trPr>
                <w:trHeight w:val="1366"/>
              </w:trPr>
              <w:tc>
                <w:tcPr>
                  <w:tcW w:w="1147" w:type="dxa"/>
                  <w:shd w:val="clear" w:color="auto" w:fill="auto"/>
                  <w:noWrap/>
                  <w:vAlign w:val="center"/>
                  <w:hideMark/>
                </w:tcPr>
                <w:p w14:paraId="5FB9B815" w14:textId="77777777" w:rsidR="00454EA0" w:rsidRPr="00A91ABE" w:rsidRDefault="00454EA0" w:rsidP="007A062A">
                  <w:pPr>
                    <w:rPr>
                      <w:color w:val="000000"/>
                      <w:sz w:val="21"/>
                      <w:szCs w:val="21"/>
                    </w:rPr>
                  </w:pPr>
                  <w:r w:rsidRPr="00A91ABE">
                    <w:rPr>
                      <w:color w:val="000000"/>
                      <w:sz w:val="21"/>
                      <w:szCs w:val="21"/>
                    </w:rPr>
                    <w:t>Лот №14</w:t>
                  </w:r>
                </w:p>
              </w:tc>
              <w:tc>
                <w:tcPr>
                  <w:tcW w:w="7075" w:type="dxa"/>
                  <w:shd w:val="clear" w:color="auto" w:fill="auto"/>
                  <w:vAlign w:val="center"/>
                  <w:hideMark/>
                </w:tcPr>
                <w:p w14:paraId="72D7DC1C"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200/D-205838, площадь 37,0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2-я Заречная, 5-119, количество комнат-1, этаж-10, 3 подъезд, с отделкой</w:t>
                  </w:r>
                </w:p>
              </w:tc>
              <w:tc>
                <w:tcPr>
                  <w:tcW w:w="2715" w:type="dxa"/>
                  <w:shd w:val="clear" w:color="auto" w:fill="auto"/>
                  <w:vAlign w:val="center"/>
                  <w:hideMark/>
                </w:tcPr>
                <w:p w14:paraId="5E24203F" w14:textId="1D339214" w:rsidR="00454EA0" w:rsidRPr="00A91ABE" w:rsidRDefault="00454EA0" w:rsidP="007A062A">
                  <w:pPr>
                    <w:ind w:right="260"/>
                    <w:jc w:val="center"/>
                    <w:rPr>
                      <w:color w:val="000000"/>
                      <w:sz w:val="21"/>
                      <w:szCs w:val="21"/>
                    </w:rPr>
                  </w:pPr>
                  <w:r w:rsidRPr="00A91ABE">
                    <w:rPr>
                      <w:color w:val="000000"/>
                      <w:sz w:val="21"/>
                      <w:szCs w:val="21"/>
                    </w:rPr>
                    <w:t>96</w:t>
                  </w:r>
                  <w:r w:rsidR="00FE2F54">
                    <w:rPr>
                      <w:color w:val="000000"/>
                      <w:sz w:val="21"/>
                      <w:szCs w:val="21"/>
                    </w:rPr>
                    <w:t> </w:t>
                  </w:r>
                  <w:r w:rsidRPr="00A91ABE">
                    <w:rPr>
                      <w:color w:val="000000"/>
                      <w:sz w:val="21"/>
                      <w:szCs w:val="21"/>
                    </w:rPr>
                    <w:t>900</w:t>
                  </w:r>
                  <w:r w:rsidR="00FE2F54">
                    <w:rPr>
                      <w:color w:val="000000"/>
                      <w:sz w:val="21"/>
                      <w:szCs w:val="21"/>
                    </w:rPr>
                    <w:t>,00</w:t>
                  </w:r>
                  <w:r w:rsidRPr="00A91ABE">
                    <w:rPr>
                      <w:color w:val="000000"/>
                      <w:sz w:val="21"/>
                      <w:szCs w:val="21"/>
                    </w:rPr>
                    <w:t xml:space="preserve"> </w:t>
                  </w:r>
                </w:p>
                <w:p w14:paraId="2AF5F751" w14:textId="77777777" w:rsidR="00454EA0" w:rsidRPr="00A91ABE" w:rsidRDefault="00454EA0" w:rsidP="007A062A">
                  <w:pPr>
                    <w:ind w:right="260"/>
                    <w:jc w:val="center"/>
                    <w:rPr>
                      <w:color w:val="000000"/>
                      <w:sz w:val="21"/>
                      <w:szCs w:val="21"/>
                    </w:rPr>
                  </w:pPr>
                  <w:r w:rsidRPr="00A91ABE">
                    <w:rPr>
                      <w:color w:val="000000"/>
                      <w:sz w:val="21"/>
                      <w:szCs w:val="21"/>
                    </w:rPr>
                    <w:t>(девяносто шесть тысяч девятьсот  белорусских рублей)</w:t>
                  </w:r>
                </w:p>
              </w:tc>
            </w:tr>
            <w:tr w:rsidR="00454EA0" w:rsidRPr="00A91ABE" w14:paraId="1CCE2E5C" w14:textId="77777777" w:rsidTr="00454EA0">
              <w:trPr>
                <w:trHeight w:val="976"/>
              </w:trPr>
              <w:tc>
                <w:tcPr>
                  <w:tcW w:w="1147" w:type="dxa"/>
                  <w:shd w:val="clear" w:color="auto" w:fill="auto"/>
                  <w:noWrap/>
                  <w:vAlign w:val="center"/>
                  <w:hideMark/>
                </w:tcPr>
                <w:p w14:paraId="4030A88B" w14:textId="77777777" w:rsidR="00454EA0" w:rsidRPr="00A91ABE" w:rsidRDefault="00454EA0" w:rsidP="007A062A">
                  <w:pPr>
                    <w:rPr>
                      <w:color w:val="000000"/>
                      <w:sz w:val="21"/>
                      <w:szCs w:val="21"/>
                    </w:rPr>
                  </w:pPr>
                  <w:r w:rsidRPr="00A91ABE">
                    <w:rPr>
                      <w:color w:val="000000"/>
                      <w:sz w:val="21"/>
                      <w:szCs w:val="21"/>
                    </w:rPr>
                    <w:t>Лот №15</w:t>
                  </w:r>
                </w:p>
              </w:tc>
              <w:tc>
                <w:tcPr>
                  <w:tcW w:w="7075" w:type="dxa"/>
                  <w:shd w:val="clear" w:color="auto" w:fill="auto"/>
                  <w:vAlign w:val="center"/>
                  <w:hideMark/>
                </w:tcPr>
                <w:p w14:paraId="25BEC34D"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200/D-205801, площадь 68,3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40А-2, количество комнат-2, этаж-1, 1подъезд, без отделки</w:t>
                  </w:r>
                </w:p>
              </w:tc>
              <w:tc>
                <w:tcPr>
                  <w:tcW w:w="2715" w:type="dxa"/>
                  <w:shd w:val="clear" w:color="auto" w:fill="auto"/>
                  <w:vAlign w:val="center"/>
                  <w:hideMark/>
                </w:tcPr>
                <w:p w14:paraId="22571C8B" w14:textId="40389B5E" w:rsidR="00454EA0" w:rsidRPr="00A91ABE" w:rsidRDefault="00454EA0" w:rsidP="007A062A">
                  <w:pPr>
                    <w:ind w:right="260"/>
                    <w:jc w:val="center"/>
                    <w:rPr>
                      <w:color w:val="000000"/>
                      <w:sz w:val="21"/>
                      <w:szCs w:val="21"/>
                    </w:rPr>
                  </w:pPr>
                  <w:r w:rsidRPr="00A91ABE">
                    <w:rPr>
                      <w:color w:val="000000"/>
                      <w:sz w:val="21"/>
                      <w:szCs w:val="21"/>
                    </w:rPr>
                    <w:t>205</w:t>
                  </w:r>
                  <w:r w:rsidR="00FE2F54">
                    <w:rPr>
                      <w:color w:val="000000"/>
                      <w:sz w:val="21"/>
                      <w:szCs w:val="21"/>
                    </w:rPr>
                    <w:t> </w:t>
                  </w:r>
                  <w:r w:rsidRPr="00A91ABE">
                    <w:rPr>
                      <w:color w:val="000000"/>
                      <w:sz w:val="21"/>
                      <w:szCs w:val="21"/>
                    </w:rPr>
                    <w:t>000</w:t>
                  </w:r>
                  <w:r w:rsidR="00FE2F54">
                    <w:rPr>
                      <w:color w:val="000000"/>
                      <w:sz w:val="21"/>
                      <w:szCs w:val="21"/>
                    </w:rPr>
                    <w:t>,00</w:t>
                  </w:r>
                </w:p>
                <w:p w14:paraId="02EEC37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пять  тысяч  белорусских рублей)</w:t>
                  </w:r>
                </w:p>
              </w:tc>
            </w:tr>
            <w:tr w:rsidR="00454EA0" w:rsidRPr="00A91ABE" w14:paraId="4E0579C9" w14:textId="77777777" w:rsidTr="00454EA0">
              <w:trPr>
                <w:trHeight w:val="1049"/>
              </w:trPr>
              <w:tc>
                <w:tcPr>
                  <w:tcW w:w="1147" w:type="dxa"/>
                  <w:shd w:val="clear" w:color="auto" w:fill="auto"/>
                  <w:noWrap/>
                  <w:vAlign w:val="center"/>
                  <w:hideMark/>
                </w:tcPr>
                <w:p w14:paraId="2CD54FC0" w14:textId="77777777" w:rsidR="00454EA0" w:rsidRPr="00A91ABE" w:rsidRDefault="00454EA0" w:rsidP="007A062A">
                  <w:pPr>
                    <w:rPr>
                      <w:color w:val="000000"/>
                      <w:sz w:val="21"/>
                      <w:szCs w:val="21"/>
                    </w:rPr>
                  </w:pPr>
                  <w:r w:rsidRPr="00A91ABE">
                    <w:rPr>
                      <w:color w:val="000000"/>
                      <w:sz w:val="21"/>
                      <w:szCs w:val="21"/>
                    </w:rPr>
                    <w:t>Лот №16</w:t>
                  </w:r>
                </w:p>
              </w:tc>
              <w:tc>
                <w:tcPr>
                  <w:tcW w:w="7075" w:type="dxa"/>
                  <w:shd w:val="clear" w:color="auto" w:fill="auto"/>
                  <w:vAlign w:val="center"/>
                  <w:hideMark/>
                </w:tcPr>
                <w:p w14:paraId="0E61387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200/D-205799, площадь 37,1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 количество комнат-1, этаж-1, 1  подъезд, без отделки</w:t>
                  </w:r>
                </w:p>
              </w:tc>
              <w:tc>
                <w:tcPr>
                  <w:tcW w:w="2715" w:type="dxa"/>
                  <w:shd w:val="clear" w:color="auto" w:fill="auto"/>
                  <w:vAlign w:val="center"/>
                  <w:hideMark/>
                </w:tcPr>
                <w:p w14:paraId="42BF09AA" w14:textId="578461C4" w:rsidR="00454EA0" w:rsidRPr="00A91ABE" w:rsidRDefault="00454EA0" w:rsidP="007A062A">
                  <w:pPr>
                    <w:ind w:right="260"/>
                    <w:jc w:val="center"/>
                    <w:rPr>
                      <w:color w:val="000000"/>
                      <w:sz w:val="21"/>
                      <w:szCs w:val="21"/>
                    </w:rPr>
                  </w:pPr>
                  <w:r w:rsidRPr="00A91ABE">
                    <w:rPr>
                      <w:color w:val="000000"/>
                      <w:sz w:val="21"/>
                      <w:szCs w:val="21"/>
                    </w:rPr>
                    <w:t>114</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35E28498" w14:textId="77777777" w:rsidR="00454EA0" w:rsidRPr="00A91ABE" w:rsidRDefault="00454EA0" w:rsidP="007A062A">
                  <w:pPr>
                    <w:ind w:right="260"/>
                    <w:jc w:val="center"/>
                    <w:rPr>
                      <w:color w:val="000000"/>
                      <w:sz w:val="21"/>
                      <w:szCs w:val="21"/>
                    </w:rPr>
                  </w:pPr>
                  <w:r w:rsidRPr="00A91ABE">
                    <w:rPr>
                      <w:color w:val="000000"/>
                      <w:sz w:val="21"/>
                      <w:szCs w:val="21"/>
                    </w:rPr>
                    <w:t>(сто четырнадцать тысяч  белорусских рублей)</w:t>
                  </w:r>
                </w:p>
              </w:tc>
            </w:tr>
            <w:tr w:rsidR="00454EA0" w:rsidRPr="00A91ABE" w14:paraId="5FC8D5F2" w14:textId="77777777" w:rsidTr="00454EA0">
              <w:trPr>
                <w:trHeight w:val="968"/>
              </w:trPr>
              <w:tc>
                <w:tcPr>
                  <w:tcW w:w="1147" w:type="dxa"/>
                  <w:shd w:val="clear" w:color="auto" w:fill="auto"/>
                  <w:noWrap/>
                  <w:vAlign w:val="center"/>
                  <w:hideMark/>
                </w:tcPr>
                <w:p w14:paraId="431DE132" w14:textId="77777777" w:rsidR="00454EA0" w:rsidRPr="00A91ABE" w:rsidRDefault="00454EA0" w:rsidP="007A062A">
                  <w:pPr>
                    <w:rPr>
                      <w:color w:val="000000"/>
                      <w:sz w:val="21"/>
                      <w:szCs w:val="21"/>
                    </w:rPr>
                  </w:pPr>
                  <w:r w:rsidRPr="00A91ABE">
                    <w:rPr>
                      <w:color w:val="000000"/>
                      <w:sz w:val="21"/>
                      <w:szCs w:val="21"/>
                    </w:rPr>
                    <w:t>Лот №17</w:t>
                  </w:r>
                </w:p>
              </w:tc>
              <w:tc>
                <w:tcPr>
                  <w:tcW w:w="7075" w:type="dxa"/>
                  <w:shd w:val="clear" w:color="auto" w:fill="auto"/>
                  <w:vAlign w:val="center"/>
                  <w:hideMark/>
                </w:tcPr>
                <w:p w14:paraId="6C55187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200/D-205798, площадь 89,1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40А-5, количество комнат-3, этаж-1, 1 подъезд, без отделки</w:t>
                  </w:r>
                </w:p>
              </w:tc>
              <w:tc>
                <w:tcPr>
                  <w:tcW w:w="2715" w:type="dxa"/>
                  <w:shd w:val="clear" w:color="auto" w:fill="auto"/>
                  <w:vAlign w:val="center"/>
                  <w:hideMark/>
                </w:tcPr>
                <w:p w14:paraId="1797D317" w14:textId="773ADD00"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3689CEA1"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26501CC1" w14:textId="77777777" w:rsidTr="00454EA0">
              <w:trPr>
                <w:trHeight w:val="1013"/>
              </w:trPr>
              <w:tc>
                <w:tcPr>
                  <w:tcW w:w="1147" w:type="dxa"/>
                  <w:shd w:val="clear" w:color="auto" w:fill="auto"/>
                  <w:noWrap/>
                  <w:vAlign w:val="center"/>
                  <w:hideMark/>
                </w:tcPr>
                <w:p w14:paraId="36C48E7D" w14:textId="77777777" w:rsidR="00454EA0" w:rsidRPr="00A91ABE" w:rsidRDefault="00454EA0" w:rsidP="007A062A">
                  <w:pPr>
                    <w:rPr>
                      <w:color w:val="000000"/>
                      <w:sz w:val="21"/>
                      <w:szCs w:val="21"/>
                    </w:rPr>
                  </w:pPr>
                  <w:r w:rsidRPr="00A91ABE">
                    <w:rPr>
                      <w:color w:val="000000"/>
                      <w:sz w:val="21"/>
                      <w:szCs w:val="21"/>
                    </w:rPr>
                    <w:t>Лот №18</w:t>
                  </w:r>
                </w:p>
              </w:tc>
              <w:tc>
                <w:tcPr>
                  <w:tcW w:w="7075" w:type="dxa"/>
                  <w:shd w:val="clear" w:color="auto" w:fill="auto"/>
                  <w:vAlign w:val="center"/>
                  <w:hideMark/>
                </w:tcPr>
                <w:p w14:paraId="2D9B28A1"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200/D-205797, площадь 37,3 кв. м,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40А-15, количество комнат-1, этаж-3, 1 подъезд, без отделки</w:t>
                  </w:r>
                </w:p>
              </w:tc>
              <w:tc>
                <w:tcPr>
                  <w:tcW w:w="2715" w:type="dxa"/>
                  <w:shd w:val="clear" w:color="auto" w:fill="auto"/>
                  <w:vAlign w:val="center"/>
                  <w:hideMark/>
                </w:tcPr>
                <w:p w14:paraId="34726C73" w14:textId="3F37DC06"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24B747F4"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r w:rsidR="00454EA0" w:rsidRPr="00A91ABE" w14:paraId="7DAB8CBF" w14:textId="77777777" w:rsidTr="00454EA0">
              <w:trPr>
                <w:trHeight w:val="1073"/>
              </w:trPr>
              <w:tc>
                <w:tcPr>
                  <w:tcW w:w="1147" w:type="dxa"/>
                  <w:shd w:val="clear" w:color="auto" w:fill="auto"/>
                  <w:noWrap/>
                  <w:vAlign w:val="center"/>
                  <w:hideMark/>
                </w:tcPr>
                <w:p w14:paraId="6A6BEC08" w14:textId="77777777" w:rsidR="00454EA0" w:rsidRPr="00A91ABE" w:rsidRDefault="00454EA0" w:rsidP="007A062A">
                  <w:pPr>
                    <w:rPr>
                      <w:color w:val="000000"/>
                      <w:sz w:val="21"/>
                      <w:szCs w:val="21"/>
                    </w:rPr>
                  </w:pPr>
                  <w:r w:rsidRPr="00A91ABE">
                    <w:rPr>
                      <w:color w:val="000000"/>
                      <w:sz w:val="21"/>
                      <w:szCs w:val="21"/>
                    </w:rPr>
                    <w:t>Лот №19</w:t>
                  </w:r>
                </w:p>
              </w:tc>
              <w:tc>
                <w:tcPr>
                  <w:tcW w:w="7075" w:type="dxa"/>
                  <w:shd w:val="clear" w:color="auto" w:fill="auto"/>
                  <w:vAlign w:val="center"/>
                  <w:hideMark/>
                </w:tcPr>
                <w:p w14:paraId="494AD987"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200/D-205796, площадь 68,3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40А-16, количество комнат-2, этаж-3, 1 подъезд, без отделки</w:t>
                  </w:r>
                </w:p>
              </w:tc>
              <w:tc>
                <w:tcPr>
                  <w:tcW w:w="2715" w:type="dxa"/>
                  <w:shd w:val="clear" w:color="auto" w:fill="auto"/>
                  <w:vAlign w:val="center"/>
                  <w:hideMark/>
                </w:tcPr>
                <w:p w14:paraId="5787FC17" w14:textId="4A355999"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16DED55A"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r w:rsidR="00454EA0" w:rsidRPr="00A91ABE" w14:paraId="5F708F76" w14:textId="77777777" w:rsidTr="00454EA0">
              <w:trPr>
                <w:trHeight w:val="1134"/>
              </w:trPr>
              <w:tc>
                <w:tcPr>
                  <w:tcW w:w="1147" w:type="dxa"/>
                  <w:shd w:val="clear" w:color="auto" w:fill="auto"/>
                  <w:noWrap/>
                  <w:vAlign w:val="center"/>
                  <w:hideMark/>
                </w:tcPr>
                <w:p w14:paraId="39437E4A" w14:textId="77777777" w:rsidR="00454EA0" w:rsidRPr="00A91ABE" w:rsidRDefault="00454EA0" w:rsidP="007A062A">
                  <w:pPr>
                    <w:rPr>
                      <w:color w:val="000000"/>
                      <w:sz w:val="21"/>
                      <w:szCs w:val="21"/>
                    </w:rPr>
                  </w:pPr>
                  <w:r w:rsidRPr="00A91ABE">
                    <w:rPr>
                      <w:color w:val="000000"/>
                      <w:sz w:val="21"/>
                      <w:szCs w:val="21"/>
                    </w:rPr>
                    <w:t>Лот №20</w:t>
                  </w:r>
                </w:p>
              </w:tc>
              <w:tc>
                <w:tcPr>
                  <w:tcW w:w="7075" w:type="dxa"/>
                  <w:shd w:val="clear" w:color="auto" w:fill="auto"/>
                  <w:vAlign w:val="center"/>
                  <w:hideMark/>
                </w:tcPr>
                <w:p w14:paraId="6D509CF2"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200/D-205795, площадь 33,7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40А-17, количество комнат-1, этаж-3, 1 подъезд, без отделки</w:t>
                  </w:r>
                </w:p>
              </w:tc>
              <w:tc>
                <w:tcPr>
                  <w:tcW w:w="2715" w:type="dxa"/>
                  <w:shd w:val="clear" w:color="auto" w:fill="auto"/>
                  <w:vAlign w:val="center"/>
                  <w:hideMark/>
                </w:tcPr>
                <w:p w14:paraId="48A1D55E" w14:textId="09EA1412" w:rsidR="00454EA0" w:rsidRPr="00A91ABE" w:rsidRDefault="00454EA0" w:rsidP="007A062A">
                  <w:pPr>
                    <w:ind w:right="260"/>
                    <w:jc w:val="center"/>
                    <w:rPr>
                      <w:color w:val="000000"/>
                      <w:sz w:val="21"/>
                      <w:szCs w:val="21"/>
                    </w:rPr>
                  </w:pPr>
                  <w:r w:rsidRPr="00A91ABE">
                    <w:rPr>
                      <w:color w:val="000000"/>
                      <w:sz w:val="21"/>
                      <w:szCs w:val="21"/>
                    </w:rPr>
                    <w:t>107</w:t>
                  </w:r>
                  <w:r w:rsidR="00FE2F54">
                    <w:rPr>
                      <w:color w:val="000000"/>
                      <w:sz w:val="21"/>
                      <w:szCs w:val="21"/>
                    </w:rPr>
                    <w:t> </w:t>
                  </w:r>
                  <w:r w:rsidRPr="00A91ABE">
                    <w:rPr>
                      <w:color w:val="000000"/>
                      <w:sz w:val="21"/>
                      <w:szCs w:val="21"/>
                    </w:rPr>
                    <w:t>000</w:t>
                  </w:r>
                  <w:r w:rsidR="00FE2F54">
                    <w:rPr>
                      <w:color w:val="000000"/>
                      <w:sz w:val="21"/>
                      <w:szCs w:val="21"/>
                    </w:rPr>
                    <w:t>,00</w:t>
                  </w:r>
                </w:p>
                <w:p w14:paraId="03834EBE" w14:textId="77777777" w:rsidR="00454EA0" w:rsidRPr="00A91ABE" w:rsidRDefault="00454EA0" w:rsidP="007A062A">
                  <w:pPr>
                    <w:ind w:right="260"/>
                    <w:jc w:val="center"/>
                    <w:rPr>
                      <w:color w:val="000000"/>
                      <w:sz w:val="21"/>
                      <w:szCs w:val="21"/>
                    </w:rPr>
                  </w:pPr>
                  <w:r w:rsidRPr="00A91ABE">
                    <w:rPr>
                      <w:color w:val="000000"/>
                      <w:sz w:val="21"/>
                      <w:szCs w:val="21"/>
                    </w:rPr>
                    <w:t xml:space="preserve"> (сто семь тысяч  белорусских рублей)</w:t>
                  </w:r>
                </w:p>
              </w:tc>
            </w:tr>
            <w:tr w:rsidR="00454EA0" w:rsidRPr="00A91ABE" w14:paraId="7875FC51" w14:textId="77777777" w:rsidTr="00454EA0">
              <w:trPr>
                <w:trHeight w:val="1500"/>
              </w:trPr>
              <w:tc>
                <w:tcPr>
                  <w:tcW w:w="1147" w:type="dxa"/>
                  <w:shd w:val="clear" w:color="auto" w:fill="auto"/>
                  <w:noWrap/>
                  <w:vAlign w:val="center"/>
                  <w:hideMark/>
                </w:tcPr>
                <w:p w14:paraId="7C3C83CC" w14:textId="77777777" w:rsidR="00454EA0" w:rsidRPr="00A91ABE" w:rsidRDefault="00454EA0" w:rsidP="007A062A">
                  <w:pPr>
                    <w:rPr>
                      <w:color w:val="000000"/>
                      <w:sz w:val="21"/>
                      <w:szCs w:val="21"/>
                    </w:rPr>
                  </w:pPr>
                  <w:r w:rsidRPr="00A91ABE">
                    <w:rPr>
                      <w:color w:val="000000"/>
                      <w:sz w:val="21"/>
                      <w:szCs w:val="21"/>
                    </w:rPr>
                    <w:t>Лот №21</w:t>
                  </w:r>
                </w:p>
              </w:tc>
              <w:tc>
                <w:tcPr>
                  <w:tcW w:w="7075" w:type="dxa"/>
                  <w:shd w:val="clear" w:color="auto" w:fill="auto"/>
                  <w:vAlign w:val="center"/>
                  <w:hideMark/>
                </w:tcPr>
                <w:p w14:paraId="3899127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200/D-205793, площадь 68,6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40А-25, количество комнат-2, этаж-1, 2 подъезд, без отделки</w:t>
                  </w:r>
                </w:p>
              </w:tc>
              <w:tc>
                <w:tcPr>
                  <w:tcW w:w="2715" w:type="dxa"/>
                  <w:shd w:val="clear" w:color="auto" w:fill="auto"/>
                  <w:vAlign w:val="center"/>
                  <w:hideMark/>
                </w:tcPr>
                <w:p w14:paraId="6365FB2D" w14:textId="4A212266" w:rsidR="00454EA0" w:rsidRPr="00A91ABE" w:rsidRDefault="00454EA0" w:rsidP="007A062A">
                  <w:pPr>
                    <w:ind w:right="260"/>
                    <w:jc w:val="center"/>
                    <w:rPr>
                      <w:color w:val="000000"/>
                      <w:sz w:val="21"/>
                      <w:szCs w:val="21"/>
                    </w:rPr>
                  </w:pPr>
                  <w:r w:rsidRPr="00A91ABE">
                    <w:rPr>
                      <w:color w:val="000000"/>
                      <w:sz w:val="21"/>
                      <w:szCs w:val="21"/>
                    </w:rPr>
                    <w:t>206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5A61E408" w14:textId="77777777" w:rsidR="00454EA0" w:rsidRPr="00A91ABE" w:rsidRDefault="00454EA0" w:rsidP="007A062A">
                  <w:pPr>
                    <w:ind w:right="260"/>
                    <w:jc w:val="center"/>
                    <w:rPr>
                      <w:color w:val="000000"/>
                      <w:sz w:val="21"/>
                      <w:szCs w:val="21"/>
                    </w:rPr>
                  </w:pPr>
                  <w:r w:rsidRPr="00A91ABE">
                    <w:rPr>
                      <w:color w:val="000000"/>
                      <w:sz w:val="21"/>
                      <w:szCs w:val="21"/>
                    </w:rPr>
                    <w:t>(двести шесть  тысяч  белорусских рублей)</w:t>
                  </w:r>
                </w:p>
              </w:tc>
            </w:tr>
            <w:tr w:rsidR="00454EA0" w:rsidRPr="00A91ABE" w14:paraId="475B7766" w14:textId="77777777" w:rsidTr="00454EA0">
              <w:trPr>
                <w:trHeight w:val="420"/>
              </w:trPr>
              <w:tc>
                <w:tcPr>
                  <w:tcW w:w="1147" w:type="dxa"/>
                  <w:shd w:val="clear" w:color="auto" w:fill="auto"/>
                  <w:noWrap/>
                  <w:vAlign w:val="center"/>
                  <w:hideMark/>
                </w:tcPr>
                <w:p w14:paraId="615DA177" w14:textId="77777777" w:rsidR="00454EA0" w:rsidRPr="00A91ABE" w:rsidRDefault="00454EA0" w:rsidP="007A062A">
                  <w:pPr>
                    <w:rPr>
                      <w:color w:val="000000"/>
                      <w:sz w:val="21"/>
                      <w:szCs w:val="21"/>
                    </w:rPr>
                  </w:pPr>
                  <w:r w:rsidRPr="00A91ABE">
                    <w:rPr>
                      <w:color w:val="000000"/>
                      <w:sz w:val="21"/>
                      <w:szCs w:val="21"/>
                    </w:rPr>
                    <w:t>Лот №22</w:t>
                  </w:r>
                </w:p>
              </w:tc>
              <w:tc>
                <w:tcPr>
                  <w:tcW w:w="7075" w:type="dxa"/>
                  <w:shd w:val="clear" w:color="auto" w:fill="auto"/>
                  <w:vAlign w:val="center"/>
                  <w:hideMark/>
                </w:tcPr>
                <w:p w14:paraId="60083D9A"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200/D-205767, площадь 89,0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40А-28, количество комнат-3, этаж-1, 2 подъезд, без отделки</w:t>
                  </w:r>
                </w:p>
              </w:tc>
              <w:tc>
                <w:tcPr>
                  <w:tcW w:w="2715" w:type="dxa"/>
                  <w:shd w:val="clear" w:color="auto" w:fill="auto"/>
                  <w:vAlign w:val="center"/>
                  <w:hideMark/>
                </w:tcPr>
                <w:p w14:paraId="373021F3" w14:textId="65B0FBBD" w:rsidR="00454EA0" w:rsidRPr="00A91ABE" w:rsidRDefault="00454EA0" w:rsidP="007A062A">
                  <w:pPr>
                    <w:ind w:right="260"/>
                    <w:jc w:val="center"/>
                    <w:rPr>
                      <w:color w:val="000000"/>
                      <w:sz w:val="21"/>
                      <w:szCs w:val="21"/>
                    </w:rPr>
                  </w:pPr>
                  <w:r w:rsidRPr="00A91ABE">
                    <w:rPr>
                      <w:color w:val="000000"/>
                      <w:sz w:val="21"/>
                      <w:szCs w:val="21"/>
                    </w:rPr>
                    <w:t>272</w:t>
                  </w:r>
                  <w:r w:rsidR="00FE2F54">
                    <w:rPr>
                      <w:color w:val="000000"/>
                      <w:sz w:val="21"/>
                      <w:szCs w:val="21"/>
                    </w:rPr>
                    <w:t> </w:t>
                  </w:r>
                  <w:r w:rsidRPr="00A91ABE">
                    <w:rPr>
                      <w:color w:val="000000"/>
                      <w:sz w:val="21"/>
                      <w:szCs w:val="21"/>
                    </w:rPr>
                    <w:t>000</w:t>
                  </w:r>
                  <w:r w:rsidR="00FE2F54">
                    <w:rPr>
                      <w:color w:val="000000"/>
                      <w:sz w:val="21"/>
                      <w:szCs w:val="21"/>
                    </w:rPr>
                    <w:t>,00</w:t>
                  </w:r>
                </w:p>
                <w:p w14:paraId="4C933B6C"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семьдесят две  тысячи  белорусских рублей)</w:t>
                  </w:r>
                </w:p>
              </w:tc>
            </w:tr>
            <w:tr w:rsidR="00454EA0" w:rsidRPr="00A91ABE" w14:paraId="7D8C9861" w14:textId="77777777" w:rsidTr="00454EA0">
              <w:trPr>
                <w:trHeight w:val="1134"/>
              </w:trPr>
              <w:tc>
                <w:tcPr>
                  <w:tcW w:w="1147" w:type="dxa"/>
                  <w:shd w:val="clear" w:color="auto" w:fill="auto"/>
                  <w:noWrap/>
                  <w:vAlign w:val="center"/>
                  <w:hideMark/>
                </w:tcPr>
                <w:p w14:paraId="1B0063BE" w14:textId="77777777" w:rsidR="00454EA0" w:rsidRPr="00A91ABE" w:rsidRDefault="00454EA0" w:rsidP="007A062A">
                  <w:pPr>
                    <w:rPr>
                      <w:color w:val="000000"/>
                      <w:sz w:val="21"/>
                      <w:szCs w:val="21"/>
                    </w:rPr>
                  </w:pPr>
                  <w:r w:rsidRPr="00A91ABE">
                    <w:rPr>
                      <w:color w:val="000000"/>
                      <w:sz w:val="21"/>
                      <w:szCs w:val="21"/>
                    </w:rPr>
                    <w:t>Лот №23</w:t>
                  </w:r>
                </w:p>
              </w:tc>
              <w:tc>
                <w:tcPr>
                  <w:tcW w:w="7075" w:type="dxa"/>
                  <w:shd w:val="clear" w:color="auto" w:fill="auto"/>
                  <w:vAlign w:val="center"/>
                  <w:hideMark/>
                </w:tcPr>
                <w:p w14:paraId="78FF21C6"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200/D-205768, площадь 33,4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40А-34, количество комнат-1, этаж-3, 2 подъезд, без отделки</w:t>
                  </w:r>
                </w:p>
              </w:tc>
              <w:tc>
                <w:tcPr>
                  <w:tcW w:w="2715" w:type="dxa"/>
                  <w:shd w:val="clear" w:color="auto" w:fill="auto"/>
                  <w:vAlign w:val="center"/>
                  <w:hideMark/>
                </w:tcPr>
                <w:p w14:paraId="6EBF9A25" w14:textId="17B1086C" w:rsidR="00454EA0" w:rsidRPr="00A91ABE" w:rsidRDefault="00454EA0" w:rsidP="007A062A">
                  <w:pPr>
                    <w:ind w:right="260"/>
                    <w:jc w:val="center"/>
                    <w:rPr>
                      <w:color w:val="000000"/>
                      <w:sz w:val="21"/>
                      <w:szCs w:val="21"/>
                    </w:rPr>
                  </w:pPr>
                  <w:r w:rsidRPr="00A91ABE">
                    <w:rPr>
                      <w:color w:val="000000"/>
                      <w:sz w:val="21"/>
                      <w:szCs w:val="21"/>
                    </w:rPr>
                    <w:t>106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78968F7" w14:textId="77777777" w:rsidR="00454EA0" w:rsidRPr="00A91ABE" w:rsidRDefault="00454EA0" w:rsidP="007A062A">
                  <w:pPr>
                    <w:ind w:right="260"/>
                    <w:jc w:val="center"/>
                    <w:rPr>
                      <w:color w:val="000000"/>
                      <w:sz w:val="21"/>
                      <w:szCs w:val="21"/>
                    </w:rPr>
                  </w:pPr>
                  <w:r w:rsidRPr="00A91ABE">
                    <w:rPr>
                      <w:color w:val="000000"/>
                      <w:sz w:val="21"/>
                      <w:szCs w:val="21"/>
                    </w:rPr>
                    <w:t>(сто шесть  тысяч  белорусских рублей)</w:t>
                  </w:r>
                </w:p>
              </w:tc>
            </w:tr>
            <w:tr w:rsidR="00454EA0" w:rsidRPr="00A91ABE" w14:paraId="371675A3" w14:textId="77777777" w:rsidTr="00454EA0">
              <w:trPr>
                <w:trHeight w:val="900"/>
              </w:trPr>
              <w:tc>
                <w:tcPr>
                  <w:tcW w:w="1147" w:type="dxa"/>
                  <w:shd w:val="clear" w:color="auto" w:fill="auto"/>
                  <w:noWrap/>
                  <w:vAlign w:val="center"/>
                  <w:hideMark/>
                </w:tcPr>
                <w:p w14:paraId="15BEBA7A" w14:textId="77777777" w:rsidR="00454EA0" w:rsidRPr="00A91ABE" w:rsidRDefault="00454EA0" w:rsidP="007A062A">
                  <w:pPr>
                    <w:rPr>
                      <w:color w:val="000000"/>
                      <w:sz w:val="21"/>
                      <w:szCs w:val="21"/>
                    </w:rPr>
                  </w:pPr>
                  <w:r w:rsidRPr="00A91ABE">
                    <w:rPr>
                      <w:color w:val="000000"/>
                      <w:sz w:val="21"/>
                      <w:szCs w:val="21"/>
                    </w:rPr>
                    <w:t>Лот №24</w:t>
                  </w:r>
                </w:p>
              </w:tc>
              <w:tc>
                <w:tcPr>
                  <w:tcW w:w="7075" w:type="dxa"/>
                  <w:shd w:val="clear" w:color="auto" w:fill="auto"/>
                  <w:vAlign w:val="center"/>
                  <w:hideMark/>
                </w:tcPr>
                <w:p w14:paraId="510489C0"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200/D-205770, площадь 68,6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40А-35, количество комнат-2, этаж-3, 2 подъезд, без отделки</w:t>
                  </w:r>
                </w:p>
              </w:tc>
              <w:tc>
                <w:tcPr>
                  <w:tcW w:w="2715" w:type="dxa"/>
                  <w:shd w:val="clear" w:color="auto" w:fill="auto"/>
                  <w:vAlign w:val="center"/>
                  <w:hideMark/>
                </w:tcPr>
                <w:p w14:paraId="362563C4" w14:textId="6C767160" w:rsidR="00454EA0" w:rsidRPr="00A91ABE" w:rsidRDefault="00454EA0" w:rsidP="007A062A">
                  <w:pPr>
                    <w:ind w:right="260"/>
                    <w:jc w:val="center"/>
                    <w:rPr>
                      <w:color w:val="000000"/>
                      <w:sz w:val="21"/>
                      <w:szCs w:val="21"/>
                    </w:rPr>
                  </w:pPr>
                  <w:r w:rsidRPr="00A91ABE">
                    <w:rPr>
                      <w:color w:val="000000"/>
                      <w:sz w:val="21"/>
                      <w:szCs w:val="21"/>
                    </w:rPr>
                    <w:t>212</w:t>
                  </w:r>
                  <w:r w:rsidR="00FE2F54">
                    <w:rPr>
                      <w:color w:val="000000"/>
                      <w:sz w:val="21"/>
                      <w:szCs w:val="21"/>
                    </w:rPr>
                    <w:t> </w:t>
                  </w:r>
                  <w:r w:rsidRPr="00A91ABE">
                    <w:rPr>
                      <w:color w:val="000000"/>
                      <w:sz w:val="21"/>
                      <w:szCs w:val="21"/>
                    </w:rPr>
                    <w:t>000</w:t>
                  </w:r>
                  <w:r w:rsidR="00FE2F54">
                    <w:rPr>
                      <w:color w:val="000000"/>
                      <w:sz w:val="21"/>
                      <w:szCs w:val="21"/>
                    </w:rPr>
                    <w:t>,00</w:t>
                  </w:r>
                </w:p>
                <w:p w14:paraId="537127F3" w14:textId="77777777" w:rsidR="00454EA0" w:rsidRPr="00A91ABE" w:rsidRDefault="00454EA0" w:rsidP="007A062A">
                  <w:pPr>
                    <w:ind w:right="260"/>
                    <w:jc w:val="center"/>
                    <w:rPr>
                      <w:color w:val="000000"/>
                      <w:sz w:val="21"/>
                      <w:szCs w:val="21"/>
                    </w:rPr>
                  </w:pPr>
                  <w:r w:rsidRPr="00A91ABE">
                    <w:rPr>
                      <w:color w:val="000000"/>
                      <w:sz w:val="21"/>
                      <w:szCs w:val="21"/>
                    </w:rPr>
                    <w:t xml:space="preserve"> (двести двенадцать тысяч  белорусских рублей)</w:t>
                  </w:r>
                </w:p>
              </w:tc>
            </w:tr>
            <w:tr w:rsidR="00454EA0" w:rsidRPr="00A91ABE" w14:paraId="15DF98A4" w14:textId="77777777" w:rsidTr="00454EA0">
              <w:trPr>
                <w:trHeight w:val="814"/>
              </w:trPr>
              <w:tc>
                <w:tcPr>
                  <w:tcW w:w="1147" w:type="dxa"/>
                  <w:shd w:val="clear" w:color="auto" w:fill="auto"/>
                  <w:noWrap/>
                  <w:vAlign w:val="center"/>
                  <w:hideMark/>
                </w:tcPr>
                <w:p w14:paraId="73ABB851" w14:textId="77777777" w:rsidR="00454EA0" w:rsidRPr="00A91ABE" w:rsidRDefault="00454EA0" w:rsidP="007A062A">
                  <w:pPr>
                    <w:rPr>
                      <w:color w:val="000000"/>
                      <w:sz w:val="21"/>
                      <w:szCs w:val="21"/>
                    </w:rPr>
                  </w:pPr>
                  <w:r w:rsidRPr="00A91ABE">
                    <w:rPr>
                      <w:color w:val="000000"/>
                      <w:sz w:val="21"/>
                      <w:szCs w:val="21"/>
                    </w:rPr>
                    <w:lastRenderedPageBreak/>
                    <w:t>Лот №25</w:t>
                  </w:r>
                </w:p>
              </w:tc>
              <w:tc>
                <w:tcPr>
                  <w:tcW w:w="7075" w:type="dxa"/>
                  <w:shd w:val="clear" w:color="auto" w:fill="auto"/>
                  <w:vAlign w:val="center"/>
                  <w:hideMark/>
                </w:tcPr>
                <w:p w14:paraId="1DCAEDEB"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200/D-205771, площадь 37,3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40А-36, количество комнат-1, этаж-3, 2 подъезд, без отделки</w:t>
                  </w:r>
                </w:p>
              </w:tc>
              <w:tc>
                <w:tcPr>
                  <w:tcW w:w="2715" w:type="dxa"/>
                  <w:shd w:val="clear" w:color="auto" w:fill="auto"/>
                  <w:vAlign w:val="center"/>
                  <w:hideMark/>
                </w:tcPr>
                <w:p w14:paraId="0D1618D5" w14:textId="6E876C12"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23C3494B"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r w:rsidR="00454EA0" w:rsidRPr="00A91ABE" w14:paraId="7E9397AC" w14:textId="77777777" w:rsidTr="00454EA0">
              <w:trPr>
                <w:trHeight w:val="1016"/>
              </w:trPr>
              <w:tc>
                <w:tcPr>
                  <w:tcW w:w="1147" w:type="dxa"/>
                  <w:shd w:val="clear" w:color="auto" w:fill="auto"/>
                  <w:noWrap/>
                  <w:vAlign w:val="center"/>
                  <w:hideMark/>
                </w:tcPr>
                <w:p w14:paraId="3DEF8F9D" w14:textId="77777777" w:rsidR="00454EA0" w:rsidRPr="00A91ABE" w:rsidRDefault="00454EA0" w:rsidP="007A062A">
                  <w:pPr>
                    <w:rPr>
                      <w:color w:val="000000"/>
                      <w:sz w:val="21"/>
                      <w:szCs w:val="21"/>
                    </w:rPr>
                  </w:pPr>
                  <w:r w:rsidRPr="00A91ABE">
                    <w:rPr>
                      <w:color w:val="000000"/>
                      <w:sz w:val="21"/>
                      <w:szCs w:val="21"/>
                    </w:rPr>
                    <w:t>Лот №26</w:t>
                  </w:r>
                </w:p>
              </w:tc>
              <w:tc>
                <w:tcPr>
                  <w:tcW w:w="7075" w:type="dxa"/>
                  <w:shd w:val="clear" w:color="auto" w:fill="auto"/>
                  <w:vAlign w:val="center"/>
                  <w:hideMark/>
                </w:tcPr>
                <w:p w14:paraId="2A65512E"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200/D-205775, площадь 33,6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40А-39, количество комнат-1, этаж-4, 2 подъезд, без отделки</w:t>
                  </w:r>
                </w:p>
              </w:tc>
              <w:tc>
                <w:tcPr>
                  <w:tcW w:w="2715" w:type="dxa"/>
                  <w:shd w:val="clear" w:color="auto" w:fill="auto"/>
                  <w:vAlign w:val="center"/>
                  <w:hideMark/>
                </w:tcPr>
                <w:p w14:paraId="0BE80EB5" w14:textId="74626B30" w:rsidR="00454EA0" w:rsidRPr="00A91ABE" w:rsidRDefault="00454EA0" w:rsidP="007A062A">
                  <w:pPr>
                    <w:ind w:right="260"/>
                    <w:jc w:val="center"/>
                    <w:rPr>
                      <w:color w:val="000000"/>
                      <w:sz w:val="21"/>
                      <w:szCs w:val="21"/>
                    </w:rPr>
                  </w:pPr>
                  <w:r w:rsidRPr="00A91ABE">
                    <w:rPr>
                      <w:color w:val="000000"/>
                      <w:sz w:val="21"/>
                      <w:szCs w:val="21"/>
                    </w:rPr>
                    <w:t>107</w:t>
                  </w:r>
                  <w:r w:rsidR="00FE2F54">
                    <w:rPr>
                      <w:color w:val="000000"/>
                      <w:sz w:val="21"/>
                      <w:szCs w:val="21"/>
                    </w:rPr>
                    <w:t> </w:t>
                  </w:r>
                  <w:r w:rsidRPr="00A91ABE">
                    <w:rPr>
                      <w:color w:val="000000"/>
                      <w:sz w:val="21"/>
                      <w:szCs w:val="21"/>
                    </w:rPr>
                    <w:t>000</w:t>
                  </w:r>
                  <w:r w:rsidR="00FE2F54">
                    <w:rPr>
                      <w:color w:val="000000"/>
                      <w:sz w:val="21"/>
                      <w:szCs w:val="21"/>
                    </w:rPr>
                    <w:t>,00</w:t>
                  </w:r>
                </w:p>
                <w:p w14:paraId="6088E3AF" w14:textId="77777777" w:rsidR="00454EA0" w:rsidRPr="00A91ABE" w:rsidRDefault="00454EA0" w:rsidP="007A062A">
                  <w:pPr>
                    <w:ind w:right="260"/>
                    <w:jc w:val="center"/>
                    <w:rPr>
                      <w:color w:val="000000"/>
                      <w:sz w:val="21"/>
                      <w:szCs w:val="21"/>
                    </w:rPr>
                  </w:pPr>
                  <w:r w:rsidRPr="00A91ABE">
                    <w:rPr>
                      <w:color w:val="000000"/>
                      <w:sz w:val="21"/>
                      <w:szCs w:val="21"/>
                    </w:rPr>
                    <w:t>(сто семь тысяч  белорусских рублей)</w:t>
                  </w:r>
                </w:p>
              </w:tc>
            </w:tr>
            <w:tr w:rsidR="00454EA0" w:rsidRPr="00A91ABE" w14:paraId="63EBEDAB" w14:textId="77777777" w:rsidTr="00454EA0">
              <w:trPr>
                <w:trHeight w:val="1231"/>
              </w:trPr>
              <w:tc>
                <w:tcPr>
                  <w:tcW w:w="1147" w:type="dxa"/>
                  <w:shd w:val="clear" w:color="auto" w:fill="auto"/>
                  <w:noWrap/>
                  <w:vAlign w:val="center"/>
                  <w:hideMark/>
                </w:tcPr>
                <w:p w14:paraId="7F2E9F49" w14:textId="77777777" w:rsidR="00454EA0" w:rsidRPr="00A91ABE" w:rsidRDefault="00454EA0" w:rsidP="007A062A">
                  <w:pPr>
                    <w:rPr>
                      <w:color w:val="000000"/>
                      <w:sz w:val="21"/>
                      <w:szCs w:val="21"/>
                    </w:rPr>
                  </w:pPr>
                  <w:r w:rsidRPr="00A91ABE">
                    <w:rPr>
                      <w:color w:val="000000"/>
                      <w:sz w:val="21"/>
                      <w:szCs w:val="21"/>
                    </w:rPr>
                    <w:t>Лот №27</w:t>
                  </w:r>
                </w:p>
              </w:tc>
              <w:tc>
                <w:tcPr>
                  <w:tcW w:w="7075" w:type="dxa"/>
                  <w:shd w:val="clear" w:color="auto" w:fill="auto"/>
                  <w:vAlign w:val="center"/>
                  <w:hideMark/>
                </w:tcPr>
                <w:p w14:paraId="3AA1B2D3"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200/D-205779, площадь 68,3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40А-40, количество комнат-2, этаж-4, 2 подъезд, без отделки</w:t>
                  </w:r>
                </w:p>
              </w:tc>
              <w:tc>
                <w:tcPr>
                  <w:tcW w:w="2715" w:type="dxa"/>
                  <w:shd w:val="clear" w:color="auto" w:fill="auto"/>
                  <w:vAlign w:val="center"/>
                  <w:hideMark/>
                </w:tcPr>
                <w:p w14:paraId="68561381" w14:textId="0A76DBA3" w:rsidR="00454EA0" w:rsidRPr="00A91ABE" w:rsidRDefault="00454EA0" w:rsidP="007A062A">
                  <w:pPr>
                    <w:ind w:right="260"/>
                    <w:jc w:val="center"/>
                    <w:rPr>
                      <w:color w:val="000000"/>
                      <w:sz w:val="21"/>
                      <w:szCs w:val="21"/>
                    </w:rPr>
                  </w:pPr>
                  <w:r w:rsidRPr="00A91ABE">
                    <w:rPr>
                      <w:color w:val="000000"/>
                      <w:sz w:val="21"/>
                      <w:szCs w:val="21"/>
                    </w:rPr>
                    <w:t>211</w:t>
                  </w:r>
                  <w:r w:rsidR="00FE2F54">
                    <w:rPr>
                      <w:color w:val="000000"/>
                      <w:sz w:val="21"/>
                      <w:szCs w:val="21"/>
                    </w:rPr>
                    <w:t> </w:t>
                  </w:r>
                  <w:r w:rsidRPr="00A91ABE">
                    <w:rPr>
                      <w:color w:val="000000"/>
                      <w:sz w:val="21"/>
                      <w:szCs w:val="21"/>
                    </w:rPr>
                    <w:t>000</w:t>
                  </w:r>
                  <w:r w:rsidR="00FE2F54">
                    <w:rPr>
                      <w:color w:val="000000"/>
                      <w:sz w:val="21"/>
                      <w:szCs w:val="21"/>
                    </w:rPr>
                    <w:t>,00</w:t>
                  </w:r>
                  <w:r w:rsidRPr="00A91ABE">
                    <w:rPr>
                      <w:color w:val="000000"/>
                      <w:sz w:val="21"/>
                      <w:szCs w:val="21"/>
                    </w:rPr>
                    <w:t xml:space="preserve"> </w:t>
                  </w:r>
                </w:p>
                <w:p w14:paraId="4937274F" w14:textId="77777777" w:rsidR="00454EA0" w:rsidRPr="00A91ABE" w:rsidRDefault="00454EA0" w:rsidP="007A062A">
                  <w:pPr>
                    <w:ind w:right="260"/>
                    <w:jc w:val="center"/>
                    <w:rPr>
                      <w:color w:val="000000"/>
                      <w:sz w:val="21"/>
                      <w:szCs w:val="21"/>
                    </w:rPr>
                  </w:pPr>
                  <w:r w:rsidRPr="00A91ABE">
                    <w:rPr>
                      <w:color w:val="000000"/>
                      <w:sz w:val="21"/>
                      <w:szCs w:val="21"/>
                    </w:rPr>
                    <w:t>(двести одиннадцать тысяч  белорусских рублей)</w:t>
                  </w:r>
                </w:p>
              </w:tc>
            </w:tr>
            <w:tr w:rsidR="00454EA0" w:rsidRPr="00A91ABE" w14:paraId="34AD3503" w14:textId="77777777" w:rsidTr="00454EA0">
              <w:trPr>
                <w:trHeight w:val="1121"/>
              </w:trPr>
              <w:tc>
                <w:tcPr>
                  <w:tcW w:w="1147" w:type="dxa"/>
                  <w:shd w:val="clear" w:color="auto" w:fill="auto"/>
                  <w:noWrap/>
                  <w:vAlign w:val="center"/>
                  <w:hideMark/>
                </w:tcPr>
                <w:p w14:paraId="6D09AF81" w14:textId="77777777" w:rsidR="00454EA0" w:rsidRPr="00A91ABE" w:rsidRDefault="00454EA0" w:rsidP="007A062A">
                  <w:pPr>
                    <w:rPr>
                      <w:color w:val="000000"/>
                      <w:sz w:val="21"/>
                      <w:szCs w:val="21"/>
                    </w:rPr>
                  </w:pPr>
                  <w:r w:rsidRPr="00A91ABE">
                    <w:rPr>
                      <w:color w:val="000000"/>
                      <w:sz w:val="21"/>
                      <w:szCs w:val="21"/>
                    </w:rPr>
                    <w:t>Лот №28</w:t>
                  </w:r>
                </w:p>
              </w:tc>
              <w:tc>
                <w:tcPr>
                  <w:tcW w:w="7075" w:type="dxa"/>
                  <w:shd w:val="clear" w:color="auto" w:fill="auto"/>
                  <w:vAlign w:val="center"/>
                  <w:hideMark/>
                </w:tcPr>
                <w:p w14:paraId="279EE7C5" w14:textId="77777777" w:rsidR="00454EA0" w:rsidRPr="00A91ABE" w:rsidRDefault="00454EA0" w:rsidP="007A062A">
                  <w:pPr>
                    <w:rPr>
                      <w:color w:val="000000"/>
                      <w:sz w:val="21"/>
                      <w:szCs w:val="21"/>
                    </w:rPr>
                  </w:pPr>
                  <w:r w:rsidRPr="00A91ABE">
                    <w:rPr>
                      <w:color w:val="000000"/>
                      <w:sz w:val="21"/>
                      <w:szCs w:val="21"/>
                    </w:rPr>
                    <w:t xml:space="preserve">Изолированное помещение с инвентарным номером 200/D-205780, площадь 37,2 </w:t>
                  </w:r>
                  <w:proofErr w:type="spellStart"/>
                  <w:r w:rsidRPr="00A91ABE">
                    <w:rPr>
                      <w:color w:val="000000"/>
                      <w:sz w:val="21"/>
                      <w:szCs w:val="21"/>
                    </w:rPr>
                    <w:t>кв</w:t>
                  </w:r>
                  <w:proofErr w:type="gramStart"/>
                  <w:r w:rsidRPr="00A91ABE">
                    <w:rPr>
                      <w:color w:val="000000"/>
                      <w:sz w:val="21"/>
                      <w:szCs w:val="21"/>
                    </w:rPr>
                    <w:t>.м</w:t>
                  </w:r>
                  <w:proofErr w:type="spellEnd"/>
                  <w:proofErr w:type="gramEnd"/>
                  <w:r w:rsidRPr="00A91ABE">
                    <w:rPr>
                      <w:color w:val="000000"/>
                      <w:sz w:val="21"/>
                      <w:szCs w:val="21"/>
                    </w:rPr>
                    <w:t xml:space="preserve">, назначение - квартира, наименование – квартира, расположенное по адресу: </w:t>
                  </w:r>
                  <w:proofErr w:type="gramStart"/>
                  <w:r w:rsidRPr="00A91ABE">
                    <w:rPr>
                      <w:color w:val="000000"/>
                      <w:sz w:val="21"/>
                      <w:szCs w:val="21"/>
                    </w:rPr>
                    <w:t>Витебская</w:t>
                  </w:r>
                  <w:proofErr w:type="gramEnd"/>
                  <w:r w:rsidRPr="00A91ABE">
                    <w:rPr>
                      <w:color w:val="000000"/>
                      <w:sz w:val="21"/>
                      <w:szCs w:val="21"/>
                    </w:rPr>
                    <w:t xml:space="preserve"> обл., г. Витебск, ул. </w:t>
                  </w:r>
                  <w:proofErr w:type="spellStart"/>
                  <w:r w:rsidRPr="00A91ABE">
                    <w:rPr>
                      <w:color w:val="000000"/>
                      <w:sz w:val="21"/>
                      <w:szCs w:val="21"/>
                    </w:rPr>
                    <w:t>Шмырёва</w:t>
                  </w:r>
                  <w:proofErr w:type="spellEnd"/>
                  <w:r w:rsidRPr="00A91ABE">
                    <w:rPr>
                      <w:color w:val="000000"/>
                      <w:sz w:val="21"/>
                      <w:szCs w:val="21"/>
                    </w:rPr>
                    <w:t>, 40А-41, количество комнат-1, этаж-4, 2 подъезд, без отделки</w:t>
                  </w:r>
                </w:p>
              </w:tc>
              <w:tc>
                <w:tcPr>
                  <w:tcW w:w="2715" w:type="dxa"/>
                  <w:shd w:val="clear" w:color="auto" w:fill="auto"/>
                  <w:vAlign w:val="center"/>
                  <w:hideMark/>
                </w:tcPr>
                <w:p w14:paraId="162E2671" w14:textId="359247EB" w:rsidR="00454EA0" w:rsidRPr="00A91ABE" w:rsidRDefault="00454EA0" w:rsidP="007A062A">
                  <w:pPr>
                    <w:ind w:right="260"/>
                    <w:jc w:val="center"/>
                    <w:rPr>
                      <w:color w:val="000000"/>
                      <w:sz w:val="21"/>
                      <w:szCs w:val="21"/>
                    </w:rPr>
                  </w:pPr>
                  <w:r w:rsidRPr="00A91ABE">
                    <w:rPr>
                      <w:color w:val="000000"/>
                      <w:sz w:val="21"/>
                      <w:szCs w:val="21"/>
                    </w:rPr>
                    <w:t>116</w:t>
                  </w:r>
                  <w:r w:rsidR="00FE2F54">
                    <w:rPr>
                      <w:color w:val="000000"/>
                      <w:sz w:val="21"/>
                      <w:szCs w:val="21"/>
                    </w:rPr>
                    <w:t> </w:t>
                  </w:r>
                  <w:r w:rsidRPr="00A91ABE">
                    <w:rPr>
                      <w:color w:val="000000"/>
                      <w:sz w:val="21"/>
                      <w:szCs w:val="21"/>
                    </w:rPr>
                    <w:t>000</w:t>
                  </w:r>
                  <w:r w:rsidR="00FE2F54">
                    <w:rPr>
                      <w:color w:val="000000"/>
                      <w:sz w:val="21"/>
                      <w:szCs w:val="21"/>
                    </w:rPr>
                    <w:t>,00</w:t>
                  </w:r>
                </w:p>
                <w:p w14:paraId="03858789" w14:textId="77777777" w:rsidR="00454EA0" w:rsidRPr="00A91ABE" w:rsidRDefault="00454EA0" w:rsidP="007A062A">
                  <w:pPr>
                    <w:ind w:right="260"/>
                    <w:jc w:val="center"/>
                    <w:rPr>
                      <w:color w:val="000000"/>
                      <w:sz w:val="21"/>
                      <w:szCs w:val="21"/>
                    </w:rPr>
                  </w:pPr>
                  <w:r w:rsidRPr="00A91ABE">
                    <w:rPr>
                      <w:color w:val="000000"/>
                      <w:sz w:val="21"/>
                      <w:szCs w:val="21"/>
                    </w:rPr>
                    <w:t>(сто шестнадцать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proofErr w:type="gramStart"/>
            <w:r w:rsidRPr="00FD1CFB">
              <w:t>р</w:t>
            </w:r>
            <w:proofErr w:type="gramEnd"/>
            <w:r w:rsidRPr="00FD1CFB">
              <w:t xml:space="preserve">/с BY85BAPB30127802900100000000 </w:t>
            </w:r>
          </w:p>
          <w:p w14:paraId="51C22A23" w14:textId="43E51BBF" w:rsidR="00E37CD4" w:rsidRPr="00FD1CFB" w:rsidRDefault="00E37CD4" w:rsidP="006D5E01">
            <w:r w:rsidRPr="00FD1CFB">
              <w:t>ОАО «</w:t>
            </w:r>
            <w:proofErr w:type="spellStart"/>
            <w:r w:rsidRPr="00FD1CFB">
              <w:t>Белагропромбанк</w:t>
            </w:r>
            <w:proofErr w:type="spellEnd"/>
            <w:r w:rsidRPr="00FD1CFB">
              <w:t>», BIC BAPBBY2X, г. Минск, ул. Романовская Слобода, 8, УНП 190055182, назначение платежа – задаток для участия в аукционе по продаже Лота №__ (ГП «УКС</w:t>
            </w:r>
            <w:r w:rsidR="00D055C5">
              <w:t xml:space="preserve"> </w:t>
            </w:r>
            <w:proofErr w:type="spellStart"/>
            <w:r w:rsidR="00D055C5">
              <w:t>г</w:t>
            </w:r>
            <w:proofErr w:type="gramStart"/>
            <w:r w:rsidR="00D055C5">
              <w:t>.В</w:t>
            </w:r>
            <w:proofErr w:type="gramEnd"/>
            <w:r w:rsidR="00D055C5">
              <w:t>итебска</w:t>
            </w:r>
            <w:proofErr w:type="spellEnd"/>
            <w:r w:rsidR="00D055C5">
              <w:t>»), назначенного на 15</w:t>
            </w:r>
            <w:r w:rsidRPr="00FD1CFB">
              <w:t xml:space="preserve"> </w:t>
            </w:r>
            <w:r w:rsidR="00D055C5">
              <w:t>мая</w:t>
            </w:r>
            <w:bookmarkStart w:id="0" w:name="_GoBack"/>
            <w:bookmarkEnd w:id="0"/>
            <w:r w:rsidRPr="00FD1CFB">
              <w:t xml:space="preserve"> 2026 г.,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0BAAC15D"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454EA0">
              <w:t>1</w:t>
            </w:r>
            <w:r w:rsidR="004F5185">
              <w:t>3</w:t>
            </w:r>
            <w:r w:rsidR="00454EA0">
              <w:t>.05</w:t>
            </w:r>
            <w:r w:rsidR="00A20A71" w:rsidRPr="00FD1CFB">
              <w:t>.202</w:t>
            </w:r>
            <w:r w:rsidR="00E37CD4" w:rsidRPr="00FD1CFB">
              <w:t>6</w:t>
            </w:r>
            <w:r w:rsidR="000A1EA9" w:rsidRPr="00FD1CFB">
              <w:t xml:space="preserve"> до </w:t>
            </w:r>
            <w:r w:rsidR="00454EA0">
              <w:t>13.3</w:t>
            </w:r>
            <w:r w:rsidR="000A1EA9" w:rsidRPr="00FD1CFB">
              <w:t>0</w:t>
            </w:r>
            <w:r w:rsidRPr="00FD1CFB">
              <w:t xml:space="preserve"> по адресу: Витебск, ул. Свидинского, 4. </w:t>
            </w:r>
          </w:p>
          <w:p w14:paraId="10E05460" w14:textId="55BD234E" w:rsidR="00FF4E18" w:rsidRPr="00FD1CFB" w:rsidRDefault="00FF4E18" w:rsidP="00454EA0">
            <w:pPr>
              <w:jc w:val="both"/>
              <w:rPr>
                <w:i/>
                <w:iCs/>
              </w:rPr>
            </w:pPr>
            <w:r w:rsidRPr="00FD1CFB">
              <w:t>Заключительная регистрация участников</w:t>
            </w:r>
            <w:r w:rsidR="00454EA0">
              <w:t xml:space="preserve"> 15</w:t>
            </w:r>
            <w:r w:rsidR="00E37CD4" w:rsidRPr="00FD1CFB">
              <w:t>.0</w:t>
            </w:r>
            <w:r w:rsidR="00454EA0">
              <w:t>5</w:t>
            </w:r>
            <w:r w:rsidR="00653085" w:rsidRPr="00FD1CFB">
              <w:t>.202</w:t>
            </w:r>
            <w:r w:rsidR="00E37CD4" w:rsidRPr="00FD1CFB">
              <w:t>6</w:t>
            </w:r>
            <w:r w:rsidRPr="00FD1CFB">
              <w:t xml:space="preserve"> с </w:t>
            </w:r>
            <w:r w:rsidR="00E37CD4" w:rsidRPr="00FD1CFB">
              <w:t>13.0</w:t>
            </w:r>
            <w:r w:rsidRPr="00FD1CFB">
              <w:t>0 до 1</w:t>
            </w:r>
            <w:r w:rsidR="00E37CD4" w:rsidRPr="00FD1CFB">
              <w:t>3.3</w:t>
            </w:r>
            <w:r w:rsidRPr="00FD1CFB">
              <w:t>0 по месту проведения аукциона</w:t>
            </w:r>
            <w:r w:rsidR="00B305B2" w:rsidRPr="00FD1CFB">
              <w:t xml:space="preserve">. </w:t>
            </w:r>
          </w:p>
        </w:tc>
      </w:tr>
      <w:tr w:rsidR="00FF4E18" w:rsidRPr="00E37CD4" w14:paraId="06D0B5C9" w14:textId="77777777" w:rsidTr="00131E1B">
        <w:trPr>
          <w:trHeight w:val="117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Витебск, ул. Шубина, 5,  расчетный счет BY46 BLBB 3012 0300 2005 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7" w:history="1">
              <w:r w:rsidR="00491151" w:rsidRPr="00FD1CFB">
                <w:rPr>
                  <w:rStyle w:val="a3"/>
                </w:rPr>
                <w:t>info@uks-vitebsk.by</w:t>
              </w:r>
            </w:hyperlink>
            <w:r w:rsidR="00491151" w:rsidRPr="00FD1CFB">
              <w:t>, 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8"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704AFABC"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w:t>
            </w:r>
            <w:proofErr w:type="gramStart"/>
            <w:r w:rsidRPr="00FD1CFB">
              <w:rPr>
                <w:color w:val="003300"/>
                <w:spacing w:val="-3"/>
              </w:rPr>
              <w:t xml:space="preserve">Победитель аукциона либо единственный участник аукциона, выразивший согласие на приобретение предмета аукциона по начальной </w:t>
            </w:r>
            <w:r w:rsidRPr="00FD1CFB">
              <w:rPr>
                <w:color w:val="003300"/>
                <w:spacing w:val="-3"/>
              </w:rPr>
              <w:lastRenderedPageBreak/>
              <w:t xml:space="preserve">цене, увеличенной на пять процентов (далее-Претендент на покупку)  обязан подписать с Продавцом договор купли-продажи предмета аукциона не </w:t>
            </w:r>
            <w:r w:rsidRPr="00FD1CFB">
              <w:rPr>
                <w:spacing w:val="-3"/>
              </w:rPr>
              <w:t>позднее 10 (десяти) рабочих дней 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proofErr w:type="gramEnd"/>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w:t>
            </w:r>
            <w:proofErr w:type="gramStart"/>
            <w:r w:rsidRPr="00FD1CFB">
              <w:rPr>
                <w:spacing w:val="-3"/>
              </w:rPr>
              <w:t>оплатить стоимость приобретенного</w:t>
            </w:r>
            <w:proofErr w:type="gramEnd"/>
            <w:r w:rsidRPr="00FD1CFB">
              <w:rPr>
                <w:spacing w:val="-3"/>
              </w:rPr>
              <w:t xml:space="preserve">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3F8D2160" w:rsidR="00FD1CFB" w:rsidRPr="00FD1CFB" w:rsidRDefault="00FD1CFB" w:rsidP="00FD1CFB">
            <w:pPr>
              <w:ind w:firstLine="709"/>
              <w:jc w:val="both"/>
              <w:rPr>
                <w:spacing w:val="-3"/>
                <w:shd w:val="clear" w:color="auto" w:fill="FFFFFF"/>
              </w:rPr>
            </w:pPr>
            <w:r w:rsidRPr="00FD1CFB">
              <w:rPr>
                <w:spacing w:val="-3"/>
                <w:shd w:val="clear" w:color="auto" w:fill="FFFFFF"/>
              </w:rPr>
              <w:t>4.</w:t>
            </w:r>
            <w:r w:rsidRPr="00FD1CFB">
              <w:t xml:space="preserve"> </w:t>
            </w:r>
            <w:r w:rsidRPr="00FD1CFB">
              <w:rPr>
                <w:spacing w:val="-3"/>
                <w:shd w:val="clear" w:color="auto" w:fill="FFFFFF"/>
              </w:rPr>
              <w:t>Победитель электронных торгов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w:t>
            </w:r>
            <w:proofErr w:type="gramStart"/>
            <w:r w:rsidRPr="00FD1CFB">
              <w:rPr>
                <w:spacing w:val="-3"/>
                <w:shd w:val="clear" w:color="auto" w:fill="FFFFFF"/>
              </w:rPr>
              <w:t>ии ау</w:t>
            </w:r>
            <w:proofErr w:type="gramEnd"/>
            <w:r w:rsidRPr="00FD1CFB">
              <w:rPr>
                <w:spacing w:val="-3"/>
                <w:shd w:val="clear" w:color="auto" w:fill="FFFFFF"/>
              </w:rPr>
              <w:t>кциона несостоявшимся при наличии Претендента на покупку).</w:t>
            </w:r>
          </w:p>
          <w:p w14:paraId="56D39027" w14:textId="392D2E26" w:rsidR="00FF4E18" w:rsidRPr="00FD1CFB" w:rsidRDefault="00FD1CFB" w:rsidP="00FD1CFB">
            <w:pPr>
              <w:ind w:firstLine="709"/>
              <w:jc w:val="both"/>
            </w:pPr>
            <w:r w:rsidRPr="00FD1CFB">
              <w:rPr>
                <w:spacing w:val="-3"/>
                <w:shd w:val="clear" w:color="auto" w:fill="FFFFFF"/>
              </w:rPr>
              <w:t>5.На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lastRenderedPageBreak/>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Лицо, желающее принять участие в аукционе, не позднее срока, указанного в извещении о проведен</w:t>
            </w:r>
            <w:proofErr w:type="gramStart"/>
            <w:r w:rsidRPr="00314FBD">
              <w:t>ии ау</w:t>
            </w:r>
            <w:proofErr w:type="gramEnd"/>
            <w:r w:rsidRPr="00314FBD">
              <w:t xml:space="preserve">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 xml:space="preserve">копии учредительных документов и свидетельства о государственной регистрации юридического лица, их подлинники для последующего </w:t>
            </w:r>
            <w:proofErr w:type="gramStart"/>
            <w:r w:rsidR="00B756C2" w:rsidRPr="00FD1CFB">
              <w:rPr>
                <w:color w:val="000000"/>
              </w:rPr>
              <w:t>заверения копий</w:t>
            </w:r>
            <w:proofErr w:type="gramEnd"/>
            <w:r w:rsidR="00B756C2" w:rsidRPr="00FD1CFB">
              <w:rPr>
                <w:color w:val="000000"/>
              </w:rPr>
              <w:t xml:space="preserve">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proofErr w:type="gramStart"/>
            <w:r w:rsidRPr="00FD1CFB">
              <w:t xml:space="preserve">юридическим лицом, иной организацией - нерезидентом Республики Беларусь - </w:t>
            </w:r>
            <w:r w:rsidR="00B756C2" w:rsidRPr="00FD1CFB">
              <w:rPr>
                <w:color w:val="000000"/>
              </w:rPr>
              <w:t>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w:t>
            </w:r>
            <w:proofErr w:type="gramEnd"/>
            <w:r w:rsidR="00B756C2" w:rsidRPr="00FD1CFB">
              <w:rPr>
                <w:color w:val="000000"/>
              </w:rPr>
              <w:t>,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 xml:space="preserve">К участию в аукционе допускаются лица, подавшие в установленный извещением срок </w:t>
            </w:r>
            <w:r w:rsidRPr="00314FBD">
              <w:lastRenderedPageBreak/>
              <w:t>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w:t>
            </w:r>
            <w:proofErr w:type="gramStart"/>
            <w:r w:rsidRPr="00FD1CFB">
              <w:rPr>
                <w:color w:val="000000"/>
              </w:rPr>
              <w:t>позднее</w:t>
            </w:r>
            <w:proofErr w:type="gramEnd"/>
            <w:r w:rsidRPr="00FD1CFB">
              <w:rPr>
                <w:color w:val="000000"/>
              </w:rPr>
              <w:t xml:space="preserve">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w:t>
            </w:r>
            <w:proofErr w:type="gramStart"/>
            <w:r w:rsidRPr="00FD1CFB">
              <w:rPr>
                <w:color w:val="000000"/>
              </w:rPr>
              <w:t>ии ау</w:t>
            </w:r>
            <w:proofErr w:type="gramEnd"/>
            <w:r w:rsidRPr="00FD1CFB">
              <w:rPr>
                <w:color w:val="000000"/>
              </w:rPr>
              <w:t>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 xml:space="preserve">Аукцион проводится в месте, день и время, </w:t>
            </w:r>
            <w:proofErr w:type="gramStart"/>
            <w:r>
              <w:rPr>
                <w:color w:val="000000"/>
              </w:rPr>
              <w:t>указанные</w:t>
            </w:r>
            <w:proofErr w:type="gramEnd"/>
            <w:r>
              <w:rPr>
                <w:color w:val="000000"/>
              </w:rPr>
              <w:t xml:space="preserve">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w:t>
            </w:r>
            <w:proofErr w:type="gramStart"/>
            <w:r w:rsidRPr="00FD1CFB">
              <w:rPr>
                <w:color w:val="000000"/>
              </w:rPr>
              <w:t>ии</w:t>
            </w:r>
            <w:r>
              <w:rPr>
                <w:color w:val="000000"/>
              </w:rPr>
              <w:t xml:space="preserve"> ау</w:t>
            </w:r>
            <w:proofErr w:type="gramEnd"/>
            <w:r>
              <w:rPr>
                <w:color w:val="000000"/>
              </w:rPr>
              <w:t>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 xml:space="preserve">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w:t>
            </w:r>
            <w:proofErr w:type="gramStart"/>
            <w:r>
              <w:rPr>
                <w:color w:val="000000"/>
              </w:rPr>
              <w:t>по</w:t>
            </w:r>
            <w:proofErr w:type="gramEnd"/>
            <w:r>
              <w:rPr>
                <w:color w:val="000000"/>
              </w:rPr>
              <w:t> </w:t>
            </w:r>
            <w:proofErr w:type="gramStart"/>
            <w:r>
              <w:rPr>
                <w:color w:val="000000"/>
              </w:rPr>
              <w:t>объявлении</w:t>
            </w:r>
            <w:proofErr w:type="gramEnd"/>
            <w:r>
              <w:rPr>
                <w:color w:val="000000"/>
              </w:rPr>
              <w:t xml:space="preserve">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proofErr w:type="gramStart"/>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Pr>
                <w:color w:val="000000"/>
              </w:rP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w:t>
            </w:r>
            <w:r>
              <w:rPr>
                <w:color w:val="000000"/>
              </w:rPr>
              <w:lastRenderedPageBreak/>
              <w:t>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proofErr w:type="gramStart"/>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w:t>
            </w:r>
            <w:proofErr w:type="gramEnd"/>
            <w:r>
              <w:rPr>
                <w:color w:val="000000"/>
              </w:rPr>
              <w:t xml:space="preserve"> в соответствии с соглашением.</w:t>
            </w:r>
          </w:p>
          <w:p w14:paraId="0001CDD3" w14:textId="72BA7791" w:rsidR="00556550" w:rsidRDefault="00556550" w:rsidP="00556550">
            <w:pPr>
              <w:pStyle w:val="point"/>
              <w:rPr>
                <w:color w:val="000000"/>
              </w:rPr>
            </w:pPr>
            <w:r>
              <w:rPr>
                <w:color w:val="000000"/>
              </w:rPr>
              <w:t>По завершен</w:t>
            </w:r>
            <w:proofErr w:type="gramStart"/>
            <w:r>
              <w:rPr>
                <w:color w:val="000000"/>
              </w:rPr>
              <w:t>ии ау</w:t>
            </w:r>
            <w:proofErr w:type="gramEnd"/>
            <w:r>
              <w:rPr>
                <w:color w:val="000000"/>
              </w:rPr>
              <w:t>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proofErr w:type="gramStart"/>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roofErr w:type="gramEnd"/>
          </w:p>
          <w:p w14:paraId="59312A9B" w14:textId="51094BED" w:rsidR="00556550" w:rsidRPr="00FD1CFB" w:rsidRDefault="00556550" w:rsidP="00556550">
            <w:pPr>
              <w:pStyle w:val="newncpi"/>
              <w:rPr>
                <w:color w:val="000000"/>
              </w:rPr>
            </w:pPr>
            <w:r>
              <w:rPr>
                <w:color w:val="000000"/>
              </w:rPr>
              <w:t>В случае</w:t>
            </w:r>
            <w:proofErr w:type="gramStart"/>
            <w:r>
              <w:rPr>
                <w:color w:val="000000"/>
              </w:rPr>
              <w:t>,</w:t>
            </w:r>
            <w:proofErr w:type="gramEnd"/>
            <w:r>
              <w:rPr>
                <w:color w:val="000000"/>
              </w:rPr>
              <w:t xml:space="preserve">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AC22FA">
      <w:pgSz w:w="11906" w:h="16838" w:code="9"/>
      <w:pgMar w:top="709"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C52"/>
    <w:rsid w:val="000F69D2"/>
    <w:rsid w:val="001001D5"/>
    <w:rsid w:val="00100AD6"/>
    <w:rsid w:val="00100F59"/>
    <w:rsid w:val="00101D8E"/>
    <w:rsid w:val="00113141"/>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16FA"/>
    <w:rsid w:val="001D2FC6"/>
    <w:rsid w:val="001D56D0"/>
    <w:rsid w:val="001E517E"/>
    <w:rsid w:val="001E696A"/>
    <w:rsid w:val="001E6D32"/>
    <w:rsid w:val="001F4507"/>
    <w:rsid w:val="001F57D4"/>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4EA0"/>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5B3C"/>
    <w:rsid w:val="00AA436A"/>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5C5"/>
    <w:rsid w:val="00D05DFB"/>
    <w:rsid w:val="00D16B27"/>
    <w:rsid w:val="00D20E41"/>
    <w:rsid w:val="00D227D3"/>
    <w:rsid w:val="00D319A0"/>
    <w:rsid w:val="00D43F17"/>
    <w:rsid w:val="00D477F0"/>
    <w:rsid w:val="00D544E2"/>
    <w:rsid w:val="00D54638"/>
    <w:rsid w:val="00D62534"/>
    <w:rsid w:val="00D66E7B"/>
    <w:rsid w:val="00D7164A"/>
    <w:rsid w:val="00D71F53"/>
    <w:rsid w:val="00D738C1"/>
    <w:rsid w:val="00D92077"/>
    <w:rsid w:val="00D96A87"/>
    <w:rsid w:val="00DA55F3"/>
    <w:rsid w:val="00DA698E"/>
    <w:rsid w:val="00DA6BC7"/>
    <w:rsid w:val="00DB6298"/>
    <w:rsid w:val="00DC72D4"/>
    <w:rsid w:val="00DD0D8E"/>
    <w:rsid w:val="00DE446C"/>
    <w:rsid w:val="00DF08FB"/>
    <w:rsid w:val="00DF1446"/>
    <w:rsid w:val="00DF360E"/>
    <w:rsid w:val="00DF6FD5"/>
    <w:rsid w:val="00E10FE2"/>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21C3"/>
    <w:rsid w:val="00FC4510"/>
    <w:rsid w:val="00FC57D5"/>
    <w:rsid w:val="00FC5B61"/>
    <w:rsid w:val="00FC60E0"/>
    <w:rsid w:val="00FD1CFB"/>
    <w:rsid w:val="00FD431D"/>
    <w:rsid w:val="00FD5248"/>
    <w:rsid w:val="00FD556E"/>
    <w:rsid w:val="00FD645F"/>
    <w:rsid w:val="00FE2F54"/>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bsk@ino.by" TargetMode="External"/><Relationship Id="rId3" Type="http://schemas.openxmlformats.org/officeDocument/2006/relationships/styles" Target="styles.xml"/><Relationship Id="rId7" Type="http://schemas.openxmlformats.org/officeDocument/2006/relationships/hyperlink" Target="mailto:info@uks-vitebs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9C0C6-0DD3-4CDE-B39B-4F49BDDD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2847</Words>
  <Characters>19796</Characters>
  <Application>Microsoft Office Word</Application>
  <DocSecurity>0</DocSecurity>
  <Lines>164</Lines>
  <Paragraphs>45</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22598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25</cp:revision>
  <cp:lastPrinted>2026-03-26T07:57:00Z</cp:lastPrinted>
  <dcterms:created xsi:type="dcterms:W3CDTF">2026-03-26T04:36:00Z</dcterms:created>
  <dcterms:modified xsi:type="dcterms:W3CDTF">2026-04-17T07:21:00Z</dcterms:modified>
</cp:coreProperties>
</file>