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7512"/>
        <w:gridCol w:w="2127"/>
        <w:gridCol w:w="1218"/>
        <w:gridCol w:w="1050"/>
      </w:tblGrid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055203">
            <w:pPr>
              <w:ind w:left="-108" w:right="-107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№ </w:t>
            </w:r>
            <w:proofErr w:type="gramStart"/>
            <w:r w:rsidRPr="00CA254F">
              <w:rPr>
                <w:rFonts w:eastAsia="Calibri"/>
              </w:rPr>
              <w:t>п</w:t>
            </w:r>
            <w:proofErr w:type="gramEnd"/>
            <w:r w:rsidRPr="00CA254F">
              <w:rPr>
                <w:rFonts w:eastAsia="Calibri"/>
              </w:rPr>
              <w:t>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</w:pPr>
            <w:r w:rsidRPr="00CA254F">
              <w:t>Наименование предмета</w:t>
            </w:r>
          </w:p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Pr="00CA254F" w:rsidRDefault="00F20ED6" w:rsidP="00DC7292">
            <w:pPr>
              <w:ind w:left="-108" w:right="-108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  <w:r w:rsidRPr="005B71AB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E6B" w:rsidRDefault="00F20ED6" w:rsidP="00B54E6B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Назначение использования </w:t>
            </w:r>
          </w:p>
          <w:p w:rsidR="00F20ED6" w:rsidRPr="00CA254F" w:rsidRDefault="00B54E6B" w:rsidP="00B54E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части сооружения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Началь-ная</w:t>
            </w:r>
            <w:proofErr w:type="spellEnd"/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</w:tr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055203" w:rsidRDefault="00F20ED6" w:rsidP="00202E20">
            <w:pPr>
              <w:ind w:left="-109" w:right="-107"/>
            </w:pPr>
            <w:r w:rsidRPr="00055203">
              <w:t>прав</w:t>
            </w:r>
            <w:r>
              <w:t>о</w:t>
            </w:r>
            <w:r w:rsidRPr="00055203">
              <w:t xml:space="preserve"> заключения договора аренды части сооружения, расположенного по адресу </w:t>
            </w:r>
            <w:r>
              <w:t xml:space="preserve">   </w:t>
            </w:r>
            <w:r w:rsidRPr="00055203">
              <w:t xml:space="preserve">г. Витебск, </w:t>
            </w:r>
            <w:r w:rsidR="008D5BE5">
              <w:t xml:space="preserve"> </w:t>
            </w:r>
            <w:r w:rsidR="00203C22">
              <w:t xml:space="preserve">улица </w:t>
            </w:r>
            <w:r w:rsidR="00202E20">
              <w:t>Ленина, вблизи моста 1000-летия Витебска</w:t>
            </w:r>
            <w:r w:rsidR="008D5BE5">
              <w:t xml:space="preserve">, </w:t>
            </w:r>
            <w:r w:rsidRPr="00055203">
              <w:t xml:space="preserve">арендуемой площадью </w:t>
            </w:r>
            <w:r>
              <w:t xml:space="preserve">         </w:t>
            </w:r>
            <w:r w:rsidR="00202E20">
              <w:t>50</w:t>
            </w:r>
            <w:r w:rsidR="007656A5">
              <w:t>,0</w:t>
            </w:r>
            <w:r w:rsidRPr="00055203">
              <w:t xml:space="preserve"> кв. м., </w:t>
            </w:r>
            <w:r w:rsidR="00203C22">
              <w:t>на три года,</w:t>
            </w:r>
            <w:r w:rsidRPr="00055203">
              <w:t xml:space="preserve">  для </w:t>
            </w:r>
            <w:r w:rsidR="008D5BE5">
              <w:t xml:space="preserve"> </w:t>
            </w:r>
            <w:r w:rsidR="0057597C">
              <w:t xml:space="preserve"> размещения </w:t>
            </w:r>
            <w:r w:rsidR="00203C22">
              <w:t xml:space="preserve"> павильона (киоска) </w:t>
            </w:r>
            <w:r w:rsidR="008D5BE5">
              <w:t xml:space="preserve"> 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2E20" w:rsidRDefault="00202E20" w:rsidP="00202E20">
            <w:pPr>
              <w:pStyle w:val="a5"/>
              <w:ind w:left="0"/>
              <w:jc w:val="both"/>
            </w:pPr>
            <w:bookmarkStart w:id="0" w:name="_Hlk225253558"/>
            <w:r>
              <w:t>1.</w:t>
            </w:r>
            <w:r w:rsidRPr="00180F4D">
              <w:t>Соблюдение Правил продажи отдельных видов товаров и осуществления  общественного питания, утвержденного постановлением Совета Министров Республики Беларусь от 22 июля 2014г. №703;</w:t>
            </w:r>
          </w:p>
          <w:p w:rsidR="00202E20" w:rsidRDefault="00202E20" w:rsidP="00202E20">
            <w:pPr>
              <w:pStyle w:val="a5"/>
              <w:ind w:left="0"/>
              <w:jc w:val="both"/>
            </w:pPr>
            <w:r>
              <w:t>2.</w:t>
            </w:r>
            <w:r w:rsidRPr="00180F4D">
              <w:t>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Витебска, установленных решением №346;</w:t>
            </w:r>
          </w:p>
          <w:p w:rsidR="00202E20" w:rsidRPr="00180F4D" w:rsidRDefault="00202E20" w:rsidP="00202E20">
            <w:pPr>
              <w:pStyle w:val="a5"/>
              <w:ind w:left="0"/>
              <w:jc w:val="both"/>
            </w:pPr>
            <w:r>
              <w:t>3.</w:t>
            </w:r>
            <w:r w:rsidRPr="00180F4D">
              <w:t>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принадлежности до момента его установки;</w:t>
            </w:r>
          </w:p>
          <w:p w:rsidR="00202E20" w:rsidRDefault="00202E20" w:rsidP="00202E20">
            <w:pPr>
              <w:jc w:val="both"/>
            </w:pPr>
            <w:r>
              <w:t>4.</w:t>
            </w:r>
            <w:r w:rsidRPr="00180F4D">
              <w:t>Предоставление площади под размещение объекта с учетом зоны обслуживание покупателей;</w:t>
            </w:r>
          </w:p>
          <w:p w:rsidR="00202E20" w:rsidRDefault="00202E20" w:rsidP="00202E20">
            <w:pPr>
              <w:jc w:val="both"/>
            </w:pPr>
            <w:r>
              <w:t>5.</w:t>
            </w:r>
            <w:r w:rsidRPr="00180F4D">
              <w:t>Заключение договоров с обслуживающей организацией на снабжение электроэнергией, уборку прилегающей территории и вывоз мусора;</w:t>
            </w:r>
          </w:p>
          <w:p w:rsidR="00202E20" w:rsidRPr="00180F4D" w:rsidRDefault="00202E20" w:rsidP="00202E20">
            <w:pPr>
              <w:jc w:val="both"/>
            </w:pPr>
            <w:r>
              <w:t>6.</w:t>
            </w:r>
            <w:r w:rsidRPr="00180F4D">
              <w:t>Демонтаж установленного нестационарного торгового объекта и освобождение площадки по окончании срока действий договоров аренды;</w:t>
            </w:r>
          </w:p>
          <w:p w:rsidR="00202E20" w:rsidRPr="00180F4D" w:rsidRDefault="00202E20" w:rsidP="00202E20">
            <w:pPr>
              <w:pStyle w:val="a5"/>
              <w:ind w:left="0"/>
              <w:jc w:val="both"/>
            </w:pPr>
            <w:r>
              <w:t>7.</w:t>
            </w:r>
            <w:r w:rsidRPr="00180F4D">
              <w:t>Установка нестационарного объекта общественного питания в соответствии с эскизом, указанным в приложении 3 к решению №565 от 27 апреля 2026 (прилагается);</w:t>
            </w:r>
          </w:p>
          <w:p w:rsidR="00202E20" w:rsidRPr="00180F4D" w:rsidRDefault="00202E20" w:rsidP="00202E20">
            <w:pPr>
              <w:pStyle w:val="a5"/>
              <w:ind w:left="0"/>
              <w:jc w:val="both"/>
            </w:pPr>
            <w:proofErr w:type="gramStart"/>
            <w:r>
              <w:t>8.</w:t>
            </w:r>
            <w:r w:rsidRPr="00180F4D">
              <w:t>Расторжение договора аренды в о</w:t>
            </w:r>
            <w:r>
              <w:t xml:space="preserve">дностороннем порядке в случаях: </w:t>
            </w:r>
            <w:r w:rsidRPr="00180F4D">
              <w:t>несоблюдение условий предусмотренных протоколом  аукциона;</w:t>
            </w:r>
            <w:r>
              <w:t xml:space="preserve"> </w:t>
            </w:r>
            <w:r w:rsidRPr="00180F4D">
              <w:t>наличия задолженности по арендным и иным платежам более двух месяцев подряд по истечении установленного договором срока платежа;</w:t>
            </w:r>
            <w:r>
              <w:t xml:space="preserve"> </w:t>
            </w:r>
            <w:r w:rsidRPr="00180F4D">
              <w:t>размещения дополнительного оборудования  за пределами объекта без согласования с собственником имущества;</w:t>
            </w:r>
            <w:r>
              <w:t xml:space="preserve"> </w:t>
            </w:r>
            <w:r w:rsidRPr="00180F4D">
              <w:t xml:space="preserve">необходимости использования площадки для нужд города с предоставлением иной </w:t>
            </w:r>
            <w:r w:rsidRPr="00180F4D">
              <w:lastRenderedPageBreak/>
              <w:t>площадки, согласованной с арендатором.</w:t>
            </w:r>
            <w:proofErr w:type="gramEnd"/>
          </w:p>
          <w:bookmarkEnd w:id="0"/>
          <w:p w:rsidR="0057597C" w:rsidRPr="00CA254F" w:rsidRDefault="00202E20" w:rsidP="00202E20">
            <w:pPr>
              <w:jc w:val="both"/>
            </w:pPr>
            <w:r>
              <w:t>9</w:t>
            </w:r>
            <w:r w:rsidR="0057597C">
              <w:t xml:space="preserve">. Арендная плата в  месяц </w:t>
            </w:r>
            <w:r>
              <w:t>45</w:t>
            </w:r>
            <w:r w:rsidR="00203C22">
              <w:t xml:space="preserve"> </w:t>
            </w:r>
            <w:r w:rsidR="0057597C">
              <w:t>базовых арендных величин за объект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0ED6" w:rsidRPr="00CA254F" w:rsidRDefault="007656A5" w:rsidP="00203C22">
            <w:pPr>
              <w:jc w:val="center"/>
            </w:pPr>
            <w:r>
              <w:lastRenderedPageBreak/>
              <w:t xml:space="preserve"> </w:t>
            </w:r>
            <w:r w:rsidR="00203C22">
              <w:t>Павильон (киоск)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7E31B2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225,34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7E31B2" w:rsidP="005759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225,34</w:t>
            </w:r>
            <w:bookmarkStart w:id="1" w:name="_GoBack"/>
            <w:bookmarkEnd w:id="1"/>
          </w:p>
        </w:tc>
      </w:tr>
    </w:tbl>
    <w:p w:rsidR="006B609E" w:rsidRDefault="006B609E" w:rsidP="009C138A">
      <w:pPr>
        <w:rPr>
          <w:b/>
          <w:color w:val="000000"/>
          <w:sz w:val="18"/>
          <w:szCs w:val="18"/>
        </w:rPr>
      </w:pPr>
    </w:p>
    <w:p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57597C">
        <w:rPr>
          <w:bCs/>
        </w:rPr>
        <w:t>16</w:t>
      </w:r>
      <w:r w:rsidR="007656A5" w:rsidRPr="009C138A">
        <w:rPr>
          <w:bCs/>
        </w:rPr>
        <w:t>.06.</w:t>
      </w:r>
      <w:r w:rsidR="00055203" w:rsidRPr="009C138A">
        <w:rPr>
          <w:bCs/>
        </w:rPr>
        <w:t>2026</w:t>
      </w:r>
      <w:r w:rsidR="00055203">
        <w:rPr>
          <w:bCs/>
        </w:rPr>
        <w:t xml:space="preserve"> </w:t>
      </w:r>
      <w:r w:rsidR="006B609E" w:rsidRPr="00244BDA">
        <w:t xml:space="preserve">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2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2"/>
    <w:p w:rsidR="00202E20" w:rsidRDefault="006B609E" w:rsidP="00202E20">
      <w:pPr>
        <w:ind w:left="-426" w:firstLine="709"/>
        <w:contextualSpacing/>
        <w:jc w:val="both"/>
      </w:pPr>
      <w:r w:rsidRPr="005B71AB">
        <w:rPr>
          <w:b/>
          <w:bCs/>
        </w:rPr>
        <w:t>Порядок проведения электронных торгов</w:t>
      </w:r>
      <w:r w:rsidRPr="005B71AB"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</w:t>
      </w:r>
      <w:r w:rsidR="00E30278">
        <w:t>Беларусь от 12.07.2013 № 608 и р</w:t>
      </w:r>
      <w:r w:rsidRPr="005B71AB">
        <w:t>егламентом ОАО «Белорусска</w:t>
      </w:r>
      <w:r w:rsidR="00202E20">
        <w:t>я универсальная товарная биржа».</w:t>
      </w:r>
    </w:p>
    <w:p w:rsidR="00202E20" w:rsidRDefault="006B609E" w:rsidP="00203C22">
      <w:pPr>
        <w:ind w:left="-426" w:firstLine="709"/>
        <w:contextualSpacing/>
        <w:jc w:val="both"/>
        <w:rPr>
          <w:b/>
          <w:color w:val="000000"/>
        </w:rPr>
      </w:pPr>
      <w:r w:rsidRPr="005B71AB">
        <w:rPr>
          <w:b/>
          <w:color w:val="000000"/>
        </w:rPr>
        <w:t xml:space="preserve">Обязательные условия электронных </w:t>
      </w:r>
      <w:proofErr w:type="spellStart"/>
      <w:r w:rsidRPr="005B71AB">
        <w:rPr>
          <w:b/>
          <w:color w:val="000000"/>
        </w:rPr>
        <w:t>торгов</w:t>
      </w:r>
      <w:proofErr w:type="gramStart"/>
      <w:r w:rsidR="00202E20">
        <w:rPr>
          <w:bCs/>
          <w:color w:val="000000"/>
        </w:rPr>
        <w:t>:</w:t>
      </w:r>
      <w:r w:rsidR="00202E20" w:rsidRPr="00180F4D">
        <w:t>С</w:t>
      </w:r>
      <w:proofErr w:type="gramEnd"/>
      <w:r w:rsidR="00202E20" w:rsidRPr="00180F4D">
        <w:t>облюдение</w:t>
      </w:r>
      <w:proofErr w:type="spellEnd"/>
      <w:r w:rsidR="00202E20" w:rsidRPr="00180F4D">
        <w:t xml:space="preserve"> Правил продажи отдельных видов товаров и осуществления  общественного питания, утвержденного постановлением Совета Министров Республики </w:t>
      </w:r>
      <w:r w:rsidR="00202E20">
        <w:t xml:space="preserve">Беларусь от 22 июля 2014г. №703. </w:t>
      </w:r>
      <w:r w:rsidR="00202E20" w:rsidRPr="00180F4D">
        <w:t>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</w:t>
      </w:r>
      <w:r w:rsidR="00202E20">
        <w:t xml:space="preserve">, установленных решением №346. </w:t>
      </w:r>
      <w:r w:rsidR="00202E20" w:rsidRPr="00180F4D">
        <w:t>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</w:t>
      </w:r>
      <w:r w:rsidR="00202E20">
        <w:t xml:space="preserve">жности до момента его установки. </w:t>
      </w:r>
      <w:r w:rsidR="00202E20" w:rsidRPr="00180F4D">
        <w:t>Предоставление площади под размещение объекта с учето</w:t>
      </w:r>
      <w:r w:rsidR="00202E20">
        <w:t xml:space="preserve">м зоны обслуживание покупателей. </w:t>
      </w:r>
      <w:r w:rsidR="00202E20" w:rsidRPr="00180F4D">
        <w:t>Заключение договоров с обслуживающей организацией на снабжение электроэнергией, уборку прилег</w:t>
      </w:r>
      <w:r w:rsidR="00202E20">
        <w:t xml:space="preserve">ающей территории и вывоз мусора. </w:t>
      </w:r>
      <w:r w:rsidR="00202E20" w:rsidRPr="00180F4D">
        <w:t xml:space="preserve">Демонтаж установленного нестационарного торгового объекта и освобождение площадки по окончании </w:t>
      </w:r>
      <w:r w:rsidR="00202E20">
        <w:t xml:space="preserve">срока действий договоров аренды. </w:t>
      </w:r>
      <w:r w:rsidR="00202E20" w:rsidRPr="00180F4D">
        <w:t xml:space="preserve">Установка нестационарного объекта общественного питания в соответствии с эскизом, указанным в приложении 3 к решению №565 </w:t>
      </w:r>
      <w:r w:rsidR="00202E20">
        <w:t xml:space="preserve">от 27 апреля 2026 (прилагается). </w:t>
      </w:r>
      <w:proofErr w:type="gramStart"/>
      <w:r w:rsidR="00202E20" w:rsidRPr="00180F4D">
        <w:t>Расторжение договора аренды в о</w:t>
      </w:r>
      <w:r w:rsidR="00202E20">
        <w:t xml:space="preserve">дностороннем порядке в случаях: </w:t>
      </w:r>
      <w:r w:rsidR="00202E20" w:rsidRPr="00180F4D">
        <w:t>несоблюдение условий предусмотренных протоколом  аукциона;</w:t>
      </w:r>
      <w:r w:rsidR="00202E20">
        <w:t xml:space="preserve"> </w:t>
      </w:r>
      <w:r w:rsidR="00202E20" w:rsidRPr="00180F4D">
        <w:t>наличия задолженности по арендным и иным платежам более двух месяцев подряд по истечении установленного договором срока платежа;</w:t>
      </w:r>
      <w:r w:rsidR="00202E20">
        <w:t xml:space="preserve"> </w:t>
      </w:r>
      <w:r w:rsidR="00202E20" w:rsidRPr="00180F4D">
        <w:t>размещения дополнительного оборудования  за пределами объекта без согласования с собственником имущества;</w:t>
      </w:r>
      <w:r w:rsidR="00202E20">
        <w:t xml:space="preserve"> </w:t>
      </w:r>
      <w:r w:rsidR="00202E20" w:rsidRPr="00180F4D">
        <w:t>необходимости использования площадки для нужд города с предоставлением иной площадки, согласованной с арендатором.</w:t>
      </w:r>
      <w:proofErr w:type="gramEnd"/>
      <w:r w:rsidR="00202E20">
        <w:t xml:space="preserve"> Арендная плата в  месяц 45 базовых арендных величин за объект</w:t>
      </w:r>
    </w:p>
    <w:p w:rsidR="006B609E" w:rsidRPr="007324D1" w:rsidRDefault="006B609E" w:rsidP="00203C22">
      <w:pPr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r w:rsidR="00055203">
        <w:rPr>
          <w:color w:val="000000"/>
        </w:rPr>
        <w:t xml:space="preserve">коммунальное ремонтное унитарное предприятие «Гордормост», 210601, г. Витебск, ул. С. Панковой, 7, тел. 0212 63 71 25, </w:t>
      </w:r>
      <w:r w:rsidR="00DA63B4">
        <w:rPr>
          <w:color w:val="000000"/>
          <w:lang w:val="en-US"/>
        </w:rPr>
        <w:t>e</w:t>
      </w:r>
      <w:r w:rsidR="00DA63B4" w:rsidRPr="00DA63B4">
        <w:rPr>
          <w:color w:val="000000"/>
        </w:rPr>
        <w:t>-</w:t>
      </w:r>
      <w:r w:rsidR="00DA63B4">
        <w:rPr>
          <w:color w:val="000000"/>
          <w:lang w:val="en-US"/>
        </w:rPr>
        <w:t>mail</w:t>
      </w:r>
      <w:r w:rsidR="00DA63B4">
        <w:rPr>
          <w:color w:val="000000"/>
        </w:rPr>
        <w:t xml:space="preserve">: </w:t>
      </w:r>
      <w:proofErr w:type="spellStart"/>
      <w:r w:rsidR="00DA63B4">
        <w:rPr>
          <w:color w:val="000000"/>
          <w:lang w:val="en-US"/>
        </w:rPr>
        <w:t>gdm</w:t>
      </w:r>
      <w:proofErr w:type="spellEnd"/>
      <w:r w:rsidR="00DA63B4" w:rsidRPr="00DA63B4">
        <w:rPr>
          <w:color w:val="000000"/>
        </w:rPr>
        <w:t>@</w:t>
      </w:r>
      <w:proofErr w:type="spellStart"/>
      <w:r w:rsidR="00DA63B4">
        <w:rPr>
          <w:color w:val="000000"/>
          <w:lang w:val="en-US"/>
        </w:rPr>
        <w:t>gordormost</w:t>
      </w:r>
      <w:proofErr w:type="spellEnd"/>
      <w:r w:rsidR="00DA63B4" w:rsidRPr="00DA63B4">
        <w:rPr>
          <w:color w:val="000000"/>
        </w:rPr>
        <w:t>.</w:t>
      </w:r>
      <w:r w:rsidR="00DA63B4">
        <w:rPr>
          <w:color w:val="000000"/>
          <w:lang w:val="en-US"/>
        </w:rPr>
        <w:t>by</w:t>
      </w:r>
      <w:r w:rsidR="00DA63B4" w:rsidRPr="007324D1">
        <w:rPr>
          <w:color w:val="000000"/>
        </w:rPr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3" w:name="_Hlk204101714"/>
      <w:r w:rsidRPr="005B71AB">
        <w:t>ОАО «Белорусская универсальная товарная биржа»</w:t>
      </w:r>
      <w:bookmarkEnd w:id="3"/>
      <w:r w:rsidRPr="005B71AB">
        <w:t xml:space="preserve"> (ЭТП «БУТБ-Имущество»)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r w:rsidR="00404199" w:rsidRPr="005B71AB">
        <w:t>butb.by)</w:t>
      </w:r>
      <w:r w:rsidR="00E85A33" w:rsidRPr="005B71AB"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 xml:space="preserve">торгах перечисляется на текущий (расчетный) банковский счет № BY60AKBB30120000066940000000 в ОАО «АСБ </w:t>
      </w:r>
      <w:proofErr w:type="spellStart"/>
      <w:r w:rsidRPr="005B71AB">
        <w:t>Беларусбанк</w:t>
      </w:r>
      <w:proofErr w:type="spellEnd"/>
      <w:r w:rsidRPr="005B71AB">
        <w:t>», код AKBBBY2X, УНП 190542056, получатель платежа – ОАО «Белорусская универсальная товарная биржа».</w:t>
      </w:r>
    </w:p>
    <w:p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</w:t>
      </w:r>
      <w:proofErr w:type="gramStart"/>
      <w:r w:rsidR="00271DB0" w:rsidRPr="00271DB0">
        <w:rPr>
          <w:color w:val="362B36"/>
        </w:rPr>
        <w:t>т(</w:t>
      </w:r>
      <w:proofErr w:type="gramEnd"/>
      <w:r w:rsidR="00271DB0" w:rsidRPr="00271DB0">
        <w:rPr>
          <w:color w:val="362B36"/>
        </w:rPr>
        <w:t>ы) № _____ по заявлению № _____</w:t>
      </w:r>
      <w:r w:rsidRPr="005B71AB">
        <w:rPr>
          <w:color w:val="362B36"/>
        </w:rPr>
        <w:t>».</w:t>
      </w:r>
    </w:p>
    <w:p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r w:rsidRPr="00C16C17">
        <w:t>документами:</w:t>
      </w:r>
      <w:r w:rsidR="004D2B22" w:rsidRPr="00C16C17">
        <w:t xml:space="preserve"> </w:t>
      </w:r>
      <w:r w:rsidR="0057597C">
        <w:rPr>
          <w:b/>
        </w:rPr>
        <w:t>11.06.</w:t>
      </w:r>
      <w:r w:rsidR="00271DB0" w:rsidRPr="00C16C17">
        <w:rPr>
          <w:b/>
        </w:rPr>
        <w:t>2026</w:t>
      </w:r>
      <w:r w:rsidRPr="00C16C17">
        <w:rPr>
          <w:b/>
        </w:rPr>
        <w:t xml:space="preserve"> до 15:00.</w:t>
      </w:r>
    </w:p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</w:t>
      </w:r>
      <w:proofErr w:type="gramStart"/>
      <w:r w:rsidR="00271DB0">
        <w:t>несостоявшимися</w:t>
      </w:r>
      <w:proofErr w:type="gramEnd"/>
      <w:r w:rsidR="00F07E2F" w:rsidRPr="005B71AB">
        <w:t>.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lastRenderedPageBreak/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t>Срок аренды:</w:t>
      </w:r>
      <w:r w:rsidR="00B81608" w:rsidRPr="005B71AB">
        <w:rPr>
          <w:b/>
        </w:rPr>
        <w:t xml:space="preserve"> </w:t>
      </w:r>
      <w:r w:rsidR="00203C22">
        <w:rPr>
          <w:color w:val="000000"/>
        </w:rPr>
        <w:t>на 3 (три) года</w:t>
      </w:r>
    </w:p>
    <w:p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="007B2425">
        <w:rPr>
          <w:color w:val="000000"/>
        </w:rPr>
        <w:t xml:space="preserve">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 xml:space="preserve">Срок </w:t>
      </w:r>
      <w:proofErr w:type="gramStart"/>
      <w:r w:rsidRPr="005B71AB">
        <w:rPr>
          <w:b/>
        </w:rPr>
        <w:t xml:space="preserve">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</w:t>
      </w:r>
      <w:proofErr w:type="gramEnd"/>
      <w:r w:rsidRPr="005B71AB">
        <w:rPr>
          <w:b/>
        </w:rPr>
        <w:t>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351A95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7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464CB2"/>
    <w:multiLevelType w:val="hybridMultilevel"/>
    <w:tmpl w:val="E9AE6FA4"/>
    <w:lvl w:ilvl="0" w:tplc="8BF2380E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5F2584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31900"/>
    <w:multiLevelType w:val="multilevel"/>
    <w:tmpl w:val="6A3AC08E"/>
    <w:lvl w:ilvl="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20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C4003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9CA"/>
    <w:rsid w:val="00147B44"/>
    <w:rsid w:val="001537B2"/>
    <w:rsid w:val="0016405B"/>
    <w:rsid w:val="00173009"/>
    <w:rsid w:val="001765B2"/>
    <w:rsid w:val="0018132D"/>
    <w:rsid w:val="0018280A"/>
    <w:rsid w:val="00182D41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D74BB"/>
    <w:rsid w:val="001E29A2"/>
    <w:rsid w:val="001E3581"/>
    <w:rsid w:val="001E3B6E"/>
    <w:rsid w:val="001F1657"/>
    <w:rsid w:val="001F477E"/>
    <w:rsid w:val="00201080"/>
    <w:rsid w:val="00202E20"/>
    <w:rsid w:val="00203C22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030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7C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324D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56A5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E31B2"/>
    <w:rsid w:val="007F0707"/>
    <w:rsid w:val="007F1D4D"/>
    <w:rsid w:val="007F2C68"/>
    <w:rsid w:val="007F7FDC"/>
    <w:rsid w:val="00810FC7"/>
    <w:rsid w:val="008131B6"/>
    <w:rsid w:val="00813339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070B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D5BE5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569AB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138A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3699C"/>
    <w:rsid w:val="00B43D99"/>
    <w:rsid w:val="00B476E6"/>
    <w:rsid w:val="00B52CEF"/>
    <w:rsid w:val="00B54E6B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16C17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3B48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4C2E"/>
    <w:rsid w:val="00D358C7"/>
    <w:rsid w:val="00D35ECE"/>
    <w:rsid w:val="00D50A5A"/>
    <w:rsid w:val="00D53825"/>
    <w:rsid w:val="00D6083E"/>
    <w:rsid w:val="00D6131B"/>
    <w:rsid w:val="00D673AE"/>
    <w:rsid w:val="00D71386"/>
    <w:rsid w:val="00D756FF"/>
    <w:rsid w:val="00D833B5"/>
    <w:rsid w:val="00D94464"/>
    <w:rsid w:val="00DA275C"/>
    <w:rsid w:val="00DA4948"/>
    <w:rsid w:val="00DA63B4"/>
    <w:rsid w:val="00DB3E7A"/>
    <w:rsid w:val="00DC7292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0278"/>
    <w:rsid w:val="00E32C23"/>
    <w:rsid w:val="00E32CA7"/>
    <w:rsid w:val="00E349E6"/>
    <w:rsid w:val="00E36FDF"/>
    <w:rsid w:val="00E42966"/>
    <w:rsid w:val="00E47CF1"/>
    <w:rsid w:val="00E519D0"/>
    <w:rsid w:val="00E55589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0ED6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A678B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5AC5-0830-41E4-B2A4-4D5988A5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Пользователь Windows</cp:lastModifiedBy>
  <cp:revision>3</cp:revision>
  <cp:lastPrinted>2026-04-29T10:25:00Z</cp:lastPrinted>
  <dcterms:created xsi:type="dcterms:W3CDTF">2026-05-12T14:12:00Z</dcterms:created>
  <dcterms:modified xsi:type="dcterms:W3CDTF">2026-05-12T14:13:00Z</dcterms:modified>
</cp:coreProperties>
</file>