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881" w:type="dxa"/>
        <w:tblLayout w:type="fixed"/>
        <w:tblLook w:val="04A0" w:firstRow="1" w:lastRow="0" w:firstColumn="1" w:lastColumn="0" w:noHBand="0" w:noVBand="1"/>
      </w:tblPr>
      <w:tblGrid>
        <w:gridCol w:w="2557"/>
        <w:gridCol w:w="8324"/>
      </w:tblGrid>
      <w:tr w:rsidR="006F521D" w:rsidRPr="00DF63A4" w14:paraId="5B877130" w14:textId="77777777" w:rsidTr="0094434B">
        <w:trPr>
          <w:trHeight w:val="1006"/>
        </w:trPr>
        <w:tc>
          <w:tcPr>
            <w:tcW w:w="10881" w:type="dxa"/>
            <w:gridSpan w:val="2"/>
            <w:shd w:val="clear" w:color="auto" w:fill="auto"/>
            <w:vAlign w:val="center"/>
          </w:tcPr>
          <w:p w14:paraId="0E43A8B9" w14:textId="43AC6C51" w:rsidR="006F521D" w:rsidRPr="0014752A" w:rsidRDefault="006F521D" w:rsidP="0094434B">
            <w:pPr>
              <w:jc w:val="center"/>
              <w:rPr>
                <w:sz w:val="28"/>
                <w:szCs w:val="28"/>
              </w:rPr>
            </w:pPr>
            <w:r w:rsidRPr="0014752A">
              <w:rPr>
                <w:sz w:val="28"/>
                <w:szCs w:val="28"/>
              </w:rPr>
              <w:t xml:space="preserve">ВИТЕБСКИЙ ФИЛИАЛ РУП «Институт недвижимости и оценки» </w:t>
            </w:r>
          </w:p>
          <w:p w14:paraId="4D76663D" w14:textId="53D060A3" w:rsidR="002B21FC" w:rsidRDefault="007C378C" w:rsidP="0094434B">
            <w:pPr>
              <w:spacing w:before="120" w:after="120"/>
              <w:jc w:val="center"/>
              <w:rPr>
                <w:sz w:val="28"/>
                <w:szCs w:val="28"/>
              </w:rPr>
            </w:pPr>
            <w:r w:rsidRPr="007C378C">
              <w:rPr>
                <w:sz w:val="28"/>
                <w:szCs w:val="28"/>
              </w:rPr>
              <w:t xml:space="preserve">извещает о проведении </w:t>
            </w:r>
            <w:r w:rsidR="00654702">
              <w:rPr>
                <w:color w:val="0000FF"/>
                <w:sz w:val="28"/>
                <w:szCs w:val="28"/>
              </w:rPr>
              <w:t>повторных</w:t>
            </w:r>
            <w:r w:rsidR="003A69A5">
              <w:rPr>
                <w:sz w:val="28"/>
                <w:szCs w:val="28"/>
              </w:rPr>
              <w:t xml:space="preserve"> </w:t>
            </w:r>
            <w:r w:rsidRPr="007C378C">
              <w:rPr>
                <w:sz w:val="28"/>
                <w:szCs w:val="28"/>
              </w:rPr>
              <w:t xml:space="preserve">электронных торгов </w:t>
            </w:r>
            <w:r w:rsidR="006F521D" w:rsidRPr="0014752A">
              <w:rPr>
                <w:sz w:val="28"/>
                <w:szCs w:val="28"/>
              </w:rPr>
              <w:t>по продаже имущества</w:t>
            </w:r>
            <w:r w:rsidR="0094041B">
              <w:rPr>
                <w:sz w:val="28"/>
                <w:szCs w:val="28"/>
              </w:rPr>
              <w:t xml:space="preserve"> </w:t>
            </w:r>
            <w:r w:rsidR="0094041B">
              <w:rPr>
                <w:sz w:val="28"/>
                <w:szCs w:val="28"/>
              </w:rPr>
              <w:br/>
            </w:r>
            <w:r w:rsidR="00B21A07">
              <w:t xml:space="preserve"> </w:t>
            </w:r>
            <w:r w:rsidR="00B21A07" w:rsidRPr="00B21A07">
              <w:rPr>
                <w:sz w:val="28"/>
                <w:szCs w:val="28"/>
              </w:rPr>
              <w:t>по продаже имущества, принадлежащего ОАО «</w:t>
            </w:r>
            <w:proofErr w:type="spellStart"/>
            <w:r w:rsidR="00B21A07" w:rsidRPr="00B21A07">
              <w:rPr>
                <w:sz w:val="28"/>
                <w:szCs w:val="28"/>
              </w:rPr>
              <w:t>Мостострой</w:t>
            </w:r>
            <w:proofErr w:type="spellEnd"/>
            <w:r w:rsidR="00B21A07" w:rsidRPr="00B21A07">
              <w:rPr>
                <w:sz w:val="28"/>
                <w:szCs w:val="28"/>
              </w:rPr>
              <w:t xml:space="preserve">»  </w:t>
            </w:r>
          </w:p>
          <w:p w14:paraId="4C5E5FA1" w14:textId="6F64FB78" w:rsidR="006F521D" w:rsidRPr="007C378C" w:rsidRDefault="00986BE9" w:rsidP="00654702">
            <w:pPr>
              <w:spacing w:before="120" w:after="120"/>
              <w:jc w:val="center"/>
              <w:rPr>
                <w:b/>
              </w:rPr>
            </w:pPr>
            <w:r>
              <w:rPr>
                <w:b/>
                <w:sz w:val="28"/>
                <w:szCs w:val="28"/>
              </w:rPr>
              <w:t>Электронные торги состоятся</w:t>
            </w:r>
            <w:r w:rsidR="006F521D" w:rsidRPr="00A95D82">
              <w:rPr>
                <w:b/>
                <w:sz w:val="28"/>
                <w:szCs w:val="28"/>
              </w:rPr>
              <w:t xml:space="preserve"> </w:t>
            </w:r>
            <w:r w:rsidR="00654702">
              <w:rPr>
                <w:b/>
                <w:sz w:val="28"/>
                <w:szCs w:val="28"/>
              </w:rPr>
              <w:t>18</w:t>
            </w:r>
            <w:r w:rsidR="00577219">
              <w:rPr>
                <w:b/>
                <w:sz w:val="28"/>
                <w:szCs w:val="28"/>
              </w:rPr>
              <w:t xml:space="preserve"> </w:t>
            </w:r>
            <w:r w:rsidR="00654702">
              <w:rPr>
                <w:b/>
                <w:sz w:val="28"/>
                <w:szCs w:val="28"/>
              </w:rPr>
              <w:t>июня</w:t>
            </w:r>
            <w:r w:rsidR="00810DA6" w:rsidRPr="00A95D82">
              <w:rPr>
                <w:b/>
                <w:sz w:val="28"/>
                <w:szCs w:val="28"/>
                <w:u w:val="single"/>
              </w:rPr>
              <w:t xml:space="preserve"> </w:t>
            </w:r>
            <w:r w:rsidR="006F521D" w:rsidRPr="00A95D82">
              <w:rPr>
                <w:b/>
                <w:sz w:val="28"/>
                <w:szCs w:val="28"/>
                <w:u w:val="single"/>
              </w:rPr>
              <w:t>202</w:t>
            </w:r>
            <w:r w:rsidR="006D38A7">
              <w:rPr>
                <w:b/>
                <w:sz w:val="28"/>
                <w:szCs w:val="28"/>
                <w:u w:val="single"/>
              </w:rPr>
              <w:t>6</w:t>
            </w:r>
            <w:r w:rsidR="006F521D" w:rsidRPr="00A95D82">
              <w:rPr>
                <w:b/>
                <w:sz w:val="28"/>
                <w:szCs w:val="28"/>
                <w:u w:val="single"/>
              </w:rPr>
              <w:t xml:space="preserve"> в 1</w:t>
            </w:r>
            <w:r w:rsidR="00577219">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485A38" w:rsidRPr="00795FE1" w14:paraId="6544C3BB" w14:textId="77777777" w:rsidTr="0094434B">
        <w:trPr>
          <w:trHeight w:val="275"/>
        </w:trPr>
        <w:tc>
          <w:tcPr>
            <w:tcW w:w="10881" w:type="dxa"/>
            <w:gridSpan w:val="2"/>
            <w:tcBorders>
              <w:top w:val="single" w:sz="4" w:space="0" w:color="auto"/>
              <w:left w:val="single" w:sz="4" w:space="0" w:color="auto"/>
              <w:bottom w:val="single" w:sz="4" w:space="0" w:color="auto"/>
              <w:right w:val="single" w:sz="4" w:space="0" w:color="auto"/>
            </w:tcBorders>
            <w:shd w:val="clear" w:color="auto" w:fill="auto"/>
          </w:tcPr>
          <w:p w14:paraId="39FE2100" w14:textId="638E5F64" w:rsidR="00485A38" w:rsidRPr="00F049CF" w:rsidRDefault="00485A38" w:rsidP="0094434B">
            <w:pPr>
              <w:pStyle w:val="ad"/>
              <w:spacing w:before="0" w:beforeAutospacing="0" w:after="0" w:afterAutospacing="0"/>
              <w:jc w:val="center"/>
              <w:rPr>
                <w:b/>
                <w:color w:val="0000FF"/>
                <w:lang w:val="ru-RU"/>
              </w:rPr>
            </w:pPr>
            <w:r w:rsidRPr="007600C0">
              <w:rPr>
                <w:b/>
                <w:lang w:val="ru-RU"/>
              </w:rPr>
              <w:t>Лот</w:t>
            </w:r>
            <w:r w:rsidR="00B21A07">
              <w:rPr>
                <w:b/>
                <w:lang w:val="ru-RU"/>
              </w:rPr>
              <w:t xml:space="preserve"> №1</w:t>
            </w:r>
            <w:r w:rsidR="00462E72">
              <w:rPr>
                <w:b/>
                <w:lang w:val="ru-RU"/>
              </w:rPr>
              <w:t xml:space="preserve"> в составе:</w:t>
            </w:r>
          </w:p>
        </w:tc>
      </w:tr>
      <w:tr w:rsidR="00E1746F" w:rsidRPr="00B637F6" w14:paraId="326AC004" w14:textId="77777777" w:rsidTr="0094434B">
        <w:trPr>
          <w:trHeight w:val="1553"/>
        </w:trPr>
        <w:tc>
          <w:tcPr>
            <w:tcW w:w="2557" w:type="dxa"/>
            <w:tcBorders>
              <w:left w:val="single" w:sz="4" w:space="0" w:color="auto"/>
              <w:bottom w:val="single" w:sz="4" w:space="0" w:color="auto"/>
              <w:right w:val="single" w:sz="4" w:space="0" w:color="auto"/>
            </w:tcBorders>
            <w:shd w:val="clear" w:color="auto" w:fill="auto"/>
          </w:tcPr>
          <w:p w14:paraId="07122BAB" w14:textId="1951459F" w:rsidR="00E1746F" w:rsidRPr="00B637F6" w:rsidRDefault="00B637F6" w:rsidP="0094434B">
            <w:pPr>
              <w:jc w:val="center"/>
            </w:pPr>
            <w:r w:rsidRPr="00B637F6">
              <w:t>Наименование, характеристики</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26976D01" w14:textId="0061B627" w:rsidR="00A135D4" w:rsidRPr="00A135D4" w:rsidRDefault="00B21A07" w:rsidP="00A135D4">
            <w:pPr>
              <w:jc w:val="both"/>
              <w:rPr>
                <w:u w:val="single"/>
              </w:rPr>
            </w:pPr>
            <w:r w:rsidRPr="003C3F97">
              <w:t xml:space="preserve">          </w:t>
            </w:r>
            <w:r w:rsidR="00A135D4">
              <w:t xml:space="preserve"> </w:t>
            </w:r>
            <w:r w:rsidR="00A135D4" w:rsidRPr="00A135D4">
              <w:rPr>
                <w:u w:val="single"/>
              </w:rPr>
              <w:t>Объекты недвижимого имущества, расположенные на земельном участке площадью 2,2538 га с кадастровым номером 240100000002000080:</w:t>
            </w:r>
          </w:p>
          <w:p w14:paraId="1A3D8A4B" w14:textId="77777777" w:rsidR="00A135D4" w:rsidRPr="00A135D4" w:rsidRDefault="00A135D4" w:rsidP="00A135D4">
            <w:pPr>
              <w:jc w:val="both"/>
            </w:pPr>
            <w:proofErr w:type="gramStart"/>
            <w:r w:rsidRPr="00A135D4">
              <w:rPr>
                <w:u w:val="single"/>
              </w:rPr>
              <w:t>1</w:t>
            </w:r>
            <w:r w:rsidRPr="00A135D4">
              <w:t xml:space="preserve">.Капитальное строение, инв. № 200/С-48708, наименование – здание бытовых помещений, назначение – здание административно-хозяйственное, общей площадью 160,6 </w:t>
            </w:r>
            <w:proofErr w:type="spellStart"/>
            <w:r w:rsidRPr="00A135D4">
              <w:t>м.кв</w:t>
            </w:r>
            <w:proofErr w:type="spellEnd"/>
            <w:r w:rsidRPr="00A135D4">
              <w:t>., составные части и принадлежности: проезжая часть (--участок 1,--участок 2,--участок 3), проезжая часть (--участок 1,--участок 2,--участок 3,--участок 4), площадка для складирования, четыре калитки, пять ворот, ограждение, ограждение, ограждение, ограждение (--участок 1,--участок 2), два заземляющих устройства "</w:t>
            </w:r>
            <w:proofErr w:type="spellStart"/>
            <w:r w:rsidRPr="00A135D4">
              <w:t>Молниеприемник</w:t>
            </w:r>
            <w:proofErr w:type="spellEnd"/>
            <w:r w:rsidRPr="00A135D4">
              <w:t>", расположенное</w:t>
            </w:r>
            <w:proofErr w:type="gramEnd"/>
            <w:r w:rsidRPr="00A135D4">
              <w:t xml:space="preserve"> по адресу: </w:t>
            </w:r>
            <w:proofErr w:type="gramStart"/>
            <w:r w:rsidRPr="00A135D4">
              <w:t>Витебская</w:t>
            </w:r>
            <w:proofErr w:type="gramEnd"/>
            <w:r w:rsidRPr="00A135D4">
              <w:t xml:space="preserve"> обл., г. Витебск, ул. Транспортная, 13 </w:t>
            </w:r>
          </w:p>
          <w:p w14:paraId="45EF2B4C" w14:textId="77777777" w:rsidR="00A135D4" w:rsidRPr="00A135D4" w:rsidRDefault="00A135D4" w:rsidP="00A135D4">
            <w:pPr>
              <w:jc w:val="both"/>
            </w:pPr>
            <w:r w:rsidRPr="00A135D4">
              <w:t xml:space="preserve">2. </w:t>
            </w:r>
            <w:proofErr w:type="gramStart"/>
            <w:r w:rsidRPr="00A135D4">
              <w:t xml:space="preserve">Капитальное строение, инв. № 200/С-48703, наименование – гаражи, назначение – здание специализированное автомобильного транспорта, общей площадью 331,1 </w:t>
            </w:r>
            <w:proofErr w:type="spellStart"/>
            <w:r w:rsidRPr="00A135D4">
              <w:t>м.кв</w:t>
            </w:r>
            <w:proofErr w:type="spellEnd"/>
            <w:r w:rsidRPr="00A135D4">
              <w:t>., составные части и принадлежности: проезжая часть (--участок 1,--участок 2,--участок 3), проезжая часть (--участок 1,--участок 2,--участок 3,--участок 4), площадка для складирования, четыре калитки, пять ворот, ограждение, ограждение, ограждение, ограждение (--участок 1,--участок 2), два заземляющих устройства "</w:t>
            </w:r>
            <w:proofErr w:type="spellStart"/>
            <w:r w:rsidRPr="00A135D4">
              <w:t>Молниеприемник</w:t>
            </w:r>
            <w:proofErr w:type="spellEnd"/>
            <w:r w:rsidRPr="00A135D4">
              <w:t>", расположенное по</w:t>
            </w:r>
            <w:proofErr w:type="gramEnd"/>
            <w:r w:rsidRPr="00A135D4">
              <w:t xml:space="preserve"> адресу: </w:t>
            </w:r>
            <w:proofErr w:type="gramStart"/>
            <w:r w:rsidRPr="00A135D4">
              <w:t>Витебская</w:t>
            </w:r>
            <w:proofErr w:type="gramEnd"/>
            <w:r w:rsidRPr="00A135D4">
              <w:t xml:space="preserve"> обл., г. Витебск, ул. Транспортная, 13/1 </w:t>
            </w:r>
          </w:p>
          <w:p w14:paraId="035CEA77" w14:textId="77777777" w:rsidR="00A135D4" w:rsidRPr="00A135D4" w:rsidRDefault="00A135D4" w:rsidP="00A135D4">
            <w:pPr>
              <w:jc w:val="both"/>
            </w:pPr>
            <w:r w:rsidRPr="00A135D4">
              <w:t xml:space="preserve">3. Капитальное строение, инв. № 200/С-48702, наименование – производственные мастерские, назначение – </w:t>
            </w:r>
            <w:proofErr w:type="gramStart"/>
            <w:r w:rsidRPr="00A135D4">
              <w:t>здание</w:t>
            </w:r>
            <w:proofErr w:type="gramEnd"/>
            <w:r w:rsidRPr="00A135D4">
              <w:t xml:space="preserve"> специализированное для ремонта и (или) технического обслуживания автомобилей (в том числе автомобильные заправочные, зарядные и газонаполнительные станции), общей площадью 1070,2 </w:t>
            </w:r>
            <w:proofErr w:type="spellStart"/>
            <w:r w:rsidRPr="00A135D4">
              <w:t>м.кв</w:t>
            </w:r>
            <w:proofErr w:type="spellEnd"/>
            <w:r w:rsidRPr="00A135D4">
              <w:t>., составные части и принадлежности: проезжая часть (--участок 1,--участок 2,--участок 3), проезжая часть (--участок 1,--участок 2,--участок 3,--участок 4), площадка для складирования, четыре калитки, пять ворот, ограждение, ограждение, ограждение, ограждение</w:t>
            </w:r>
            <w:proofErr w:type="gramStart"/>
            <w:r w:rsidRPr="00A135D4">
              <w:t xml:space="preserve"> (--</w:t>
            </w:r>
            <w:proofErr w:type="gramEnd"/>
            <w:r w:rsidRPr="00A135D4">
              <w:t>участок 1,--участок 2), два заземляющих устройства "</w:t>
            </w:r>
            <w:proofErr w:type="spellStart"/>
            <w:r w:rsidRPr="00A135D4">
              <w:t>Молниеприемник</w:t>
            </w:r>
            <w:proofErr w:type="spellEnd"/>
            <w:r w:rsidRPr="00A135D4">
              <w:t xml:space="preserve">", расположенное по адресу: </w:t>
            </w:r>
            <w:proofErr w:type="gramStart"/>
            <w:r w:rsidRPr="00A135D4">
              <w:t>Витебская</w:t>
            </w:r>
            <w:proofErr w:type="gramEnd"/>
            <w:r w:rsidRPr="00A135D4">
              <w:t xml:space="preserve"> обл., г. Витебск, ул. Транспортная, 13/2 </w:t>
            </w:r>
          </w:p>
          <w:p w14:paraId="1E9B8145" w14:textId="77777777" w:rsidR="00A135D4" w:rsidRPr="00A135D4" w:rsidRDefault="00A135D4" w:rsidP="00A135D4">
            <w:pPr>
              <w:jc w:val="both"/>
            </w:pPr>
            <w:r w:rsidRPr="00A135D4">
              <w:t xml:space="preserve">4.Капитальное строение, инв. № 200/С-48704, наименование – склад-модуль, назначение – </w:t>
            </w:r>
            <w:proofErr w:type="gramStart"/>
            <w:r w:rsidRPr="00A135D4">
              <w:t>здание</w:t>
            </w:r>
            <w:proofErr w:type="gramEnd"/>
            <w:r w:rsidRPr="00A135D4">
              <w:t xml:space="preserve"> специализированное складов, торговых баз, баз материально-технического снабжения, хранилищ, общей площадью 1350,1 </w:t>
            </w:r>
            <w:proofErr w:type="spellStart"/>
            <w:r w:rsidRPr="00A135D4">
              <w:t>м.кв</w:t>
            </w:r>
            <w:proofErr w:type="spellEnd"/>
            <w:r w:rsidRPr="00A135D4">
              <w:t xml:space="preserve">., составные части и принадлежности: кузница, трансформаторная подстанция, модуль, расположенное по адресу: </w:t>
            </w:r>
            <w:proofErr w:type="gramStart"/>
            <w:r w:rsidRPr="00A135D4">
              <w:t>Витебская</w:t>
            </w:r>
            <w:proofErr w:type="gramEnd"/>
            <w:r w:rsidRPr="00A135D4">
              <w:t xml:space="preserve"> обл., г. Витебск, ул. Транспортная, 13/3 </w:t>
            </w:r>
          </w:p>
          <w:p w14:paraId="4EBAE3B8" w14:textId="443E82AC" w:rsidR="00A135D4" w:rsidRPr="00A135D4" w:rsidRDefault="00A135D4" w:rsidP="00A135D4">
            <w:pPr>
              <w:jc w:val="both"/>
            </w:pPr>
            <w:proofErr w:type="gramStart"/>
            <w:r w:rsidRPr="00A135D4">
              <w:t xml:space="preserve">5.Капитальное строение, инв. № 200/С-48705, наименование – котельная, назначение – здание специализированное коммунального хозяйства, общей площадью 66,1 </w:t>
            </w:r>
            <w:proofErr w:type="spellStart"/>
            <w:r w:rsidRPr="00A135D4">
              <w:t>м.кв</w:t>
            </w:r>
            <w:proofErr w:type="spellEnd"/>
            <w:r w:rsidRPr="00A135D4">
              <w:t>., составные части и принадлежности: пристройка, дымоходная труба, расположенное по адресу:</w:t>
            </w:r>
            <w:proofErr w:type="gramEnd"/>
            <w:r w:rsidRPr="00A135D4">
              <w:t xml:space="preserve"> </w:t>
            </w:r>
            <w:proofErr w:type="gramStart"/>
            <w:r w:rsidRPr="00A135D4">
              <w:t>Витебская</w:t>
            </w:r>
            <w:proofErr w:type="gramEnd"/>
            <w:r w:rsidRPr="00A135D4">
              <w:t xml:space="preserve"> обл., г. Витебск, ул. Транспортная, 13/</w:t>
            </w:r>
            <w:r w:rsidR="00D16F24">
              <w:t>4</w:t>
            </w:r>
          </w:p>
          <w:p w14:paraId="72BEF7C3" w14:textId="77777777" w:rsidR="00A135D4" w:rsidRPr="00A135D4" w:rsidRDefault="00A135D4" w:rsidP="00A135D4">
            <w:pPr>
              <w:jc w:val="both"/>
            </w:pPr>
            <w:r w:rsidRPr="00A135D4">
              <w:t xml:space="preserve">6.Капитальное строение, инв. № 200/С-75373, наименование – склад, назначение – </w:t>
            </w:r>
            <w:proofErr w:type="gramStart"/>
            <w:r w:rsidRPr="00A135D4">
              <w:t>сооружение</w:t>
            </w:r>
            <w:proofErr w:type="gramEnd"/>
            <w:r w:rsidRPr="00A135D4">
              <w:t xml:space="preserve"> специализированное складов, хранилищ, общей площадью 110,4 </w:t>
            </w:r>
            <w:proofErr w:type="spellStart"/>
            <w:r w:rsidRPr="00A135D4">
              <w:t>м.кв</w:t>
            </w:r>
            <w:proofErr w:type="spellEnd"/>
            <w:r w:rsidRPr="00A135D4">
              <w:t xml:space="preserve">., составные части и принадлежности: нет, расположенное по адресу: </w:t>
            </w:r>
            <w:proofErr w:type="gramStart"/>
            <w:r w:rsidRPr="00A135D4">
              <w:t>Витебская</w:t>
            </w:r>
            <w:proofErr w:type="gramEnd"/>
            <w:r w:rsidRPr="00A135D4">
              <w:t xml:space="preserve"> обл., г. Витебск, ул. Транспортная, 13/5 </w:t>
            </w:r>
          </w:p>
          <w:p w14:paraId="2333DF97" w14:textId="77777777" w:rsidR="00A135D4" w:rsidRPr="00A135D4" w:rsidRDefault="00A135D4" w:rsidP="00A135D4">
            <w:pPr>
              <w:jc w:val="both"/>
            </w:pPr>
            <w:r w:rsidRPr="00A135D4">
              <w:t xml:space="preserve">7.Капитальное строение, инв. № 200/С-48707, наименование – склад, назначение – </w:t>
            </w:r>
            <w:proofErr w:type="gramStart"/>
            <w:r w:rsidRPr="00A135D4">
              <w:t>здание</w:t>
            </w:r>
            <w:proofErr w:type="gramEnd"/>
            <w:r w:rsidRPr="00A135D4">
              <w:t xml:space="preserve"> специализированное складов, торговых баз, баз материально-технического снабжения, хранилищ, общей площадью 280,8 </w:t>
            </w:r>
            <w:proofErr w:type="spellStart"/>
            <w:r w:rsidRPr="00A135D4">
              <w:t>м.кв</w:t>
            </w:r>
            <w:proofErr w:type="spellEnd"/>
            <w:r w:rsidRPr="00A135D4">
              <w:t xml:space="preserve">., составные части и принадлежности: нет, расположенное по адресу: </w:t>
            </w:r>
            <w:proofErr w:type="gramStart"/>
            <w:r w:rsidRPr="00A135D4">
              <w:lastRenderedPageBreak/>
              <w:t>Витебская</w:t>
            </w:r>
            <w:proofErr w:type="gramEnd"/>
            <w:r w:rsidRPr="00A135D4">
              <w:t xml:space="preserve"> обл., г. Витебск, ул. Транспортная, 13/6 </w:t>
            </w:r>
          </w:p>
          <w:p w14:paraId="18155EFA" w14:textId="77777777" w:rsidR="00A135D4" w:rsidRPr="00A135D4" w:rsidRDefault="00A135D4" w:rsidP="00A135D4">
            <w:pPr>
              <w:jc w:val="both"/>
            </w:pPr>
            <w:r w:rsidRPr="00A135D4">
              <w:t xml:space="preserve">8.Капитальное строение, инв. № 200/С-48710, наименование – пилорама, назначение – </w:t>
            </w:r>
            <w:proofErr w:type="gramStart"/>
            <w:r w:rsidRPr="00A135D4">
              <w:t>здание</w:t>
            </w:r>
            <w:proofErr w:type="gramEnd"/>
            <w:r w:rsidRPr="00A135D4">
              <w:t xml:space="preserve"> специализированное для обработки древесины и производства изделий из дерева, включая мебель, общей площадью 230,2 </w:t>
            </w:r>
            <w:proofErr w:type="spellStart"/>
            <w:r w:rsidRPr="00A135D4">
              <w:t>м.кв</w:t>
            </w:r>
            <w:proofErr w:type="spellEnd"/>
            <w:r w:rsidRPr="00A135D4">
              <w:t xml:space="preserve">., составные части и принадлежности: нет, расположенное по адресу: </w:t>
            </w:r>
            <w:proofErr w:type="gramStart"/>
            <w:r w:rsidRPr="00A135D4">
              <w:t>Витебская</w:t>
            </w:r>
            <w:proofErr w:type="gramEnd"/>
            <w:r w:rsidRPr="00A135D4">
              <w:t xml:space="preserve"> обл., г. Витебск, ул. Транспортная, 13/7 </w:t>
            </w:r>
          </w:p>
          <w:p w14:paraId="06E95C5D" w14:textId="77777777" w:rsidR="00A135D4" w:rsidRPr="00A135D4" w:rsidRDefault="00A135D4" w:rsidP="00A135D4">
            <w:pPr>
              <w:jc w:val="both"/>
            </w:pPr>
            <w:r w:rsidRPr="00A135D4">
              <w:t xml:space="preserve">9.Капитальное строение, инв. № 200/С-48706, наименование – склад ГСМ, назначение – </w:t>
            </w:r>
            <w:proofErr w:type="gramStart"/>
            <w:r w:rsidRPr="00A135D4">
              <w:t>Здание</w:t>
            </w:r>
            <w:proofErr w:type="gramEnd"/>
            <w:r w:rsidRPr="00A135D4">
              <w:t xml:space="preserve"> специализированное складов, торговых баз, баз материально-технического снабжения, хранилищ, общей площадью 32,0 </w:t>
            </w:r>
            <w:proofErr w:type="spellStart"/>
            <w:r w:rsidRPr="00A135D4">
              <w:t>м.кв</w:t>
            </w:r>
            <w:proofErr w:type="spellEnd"/>
            <w:r w:rsidRPr="00A135D4">
              <w:t xml:space="preserve">., составные части и принадлежности: нет, расположенное по адресу: </w:t>
            </w:r>
            <w:proofErr w:type="gramStart"/>
            <w:r w:rsidRPr="00A135D4">
              <w:t>Витебская</w:t>
            </w:r>
            <w:proofErr w:type="gramEnd"/>
            <w:r w:rsidRPr="00A135D4">
              <w:t xml:space="preserve"> обл., г. Витебск, ул. Транспортная, 13/8 </w:t>
            </w:r>
          </w:p>
          <w:p w14:paraId="41891076" w14:textId="77777777" w:rsidR="00A135D4" w:rsidRPr="00A135D4" w:rsidRDefault="00A135D4" w:rsidP="00A135D4">
            <w:pPr>
              <w:jc w:val="both"/>
            </w:pPr>
            <w:r w:rsidRPr="00A135D4">
              <w:t xml:space="preserve">10.Капитальное строение, инв. № 200/С-48709, наименование – центральный склад, назначение – </w:t>
            </w:r>
            <w:proofErr w:type="gramStart"/>
            <w:r w:rsidRPr="00A135D4">
              <w:t>здание</w:t>
            </w:r>
            <w:proofErr w:type="gramEnd"/>
            <w:r w:rsidRPr="00A135D4">
              <w:t xml:space="preserve"> специализированное складов, торговых баз, баз материально-технического снабжения, хранилищ, общей площадью 488,9 </w:t>
            </w:r>
            <w:proofErr w:type="spellStart"/>
            <w:r w:rsidRPr="00A135D4">
              <w:t>м.кв</w:t>
            </w:r>
            <w:proofErr w:type="spellEnd"/>
            <w:r w:rsidRPr="00A135D4">
              <w:t>., составные части и принадлежности: Проезжая часть</w:t>
            </w:r>
            <w:proofErr w:type="gramStart"/>
            <w:r w:rsidRPr="00A135D4">
              <w:t xml:space="preserve"> (--</w:t>
            </w:r>
            <w:proofErr w:type="gramEnd"/>
            <w:r w:rsidRPr="00A135D4">
              <w:t>участок 1,--участок 2,--участок 3), проезжая часть (--участок 1,--участок 2,--участок 3,--участок 4), площадка для складирования, четыре калитки, пять ворот, ограждение, ограждение, ограждение, ограждение (--участок 1,--участок 2), два заземляющих устройства "</w:t>
            </w:r>
            <w:proofErr w:type="spellStart"/>
            <w:r w:rsidRPr="00A135D4">
              <w:t>Молниеприемник</w:t>
            </w:r>
            <w:proofErr w:type="spellEnd"/>
            <w:r w:rsidRPr="00A135D4">
              <w:t xml:space="preserve">", расположенное по адресу: </w:t>
            </w:r>
            <w:proofErr w:type="gramStart"/>
            <w:r w:rsidRPr="00A135D4">
              <w:t>Витебская</w:t>
            </w:r>
            <w:proofErr w:type="gramEnd"/>
            <w:r w:rsidRPr="00A135D4">
              <w:t xml:space="preserve"> обл., г. Витебск, ул. Транспортная, 13/9 </w:t>
            </w:r>
          </w:p>
          <w:p w14:paraId="42494CF1" w14:textId="77777777" w:rsidR="00A135D4" w:rsidRPr="00A135D4" w:rsidRDefault="00A135D4" w:rsidP="00A135D4">
            <w:pPr>
              <w:jc w:val="both"/>
            </w:pPr>
            <w:proofErr w:type="gramStart"/>
            <w:r w:rsidRPr="00A135D4">
              <w:t xml:space="preserve">11.Капитальное строение, инв. № 200/С-75381, наименование – туалет, назначение – сооружение специализированное коммунального хозяйства, общей площадью 3,6 </w:t>
            </w:r>
            <w:proofErr w:type="spellStart"/>
            <w:r w:rsidRPr="00A135D4">
              <w:t>м.кв</w:t>
            </w:r>
            <w:proofErr w:type="spellEnd"/>
            <w:r w:rsidRPr="00A135D4">
              <w:t>., составные части и принадлежности: нет, расположенное по адресу:</w:t>
            </w:r>
            <w:proofErr w:type="gramEnd"/>
            <w:r w:rsidRPr="00A135D4">
              <w:t xml:space="preserve"> </w:t>
            </w:r>
            <w:proofErr w:type="gramStart"/>
            <w:r w:rsidRPr="00A135D4">
              <w:t>Витебская</w:t>
            </w:r>
            <w:proofErr w:type="gramEnd"/>
            <w:r w:rsidRPr="00A135D4">
              <w:t xml:space="preserve"> обл., г. Витебск, ул. Транспортная, 13/10 </w:t>
            </w:r>
          </w:p>
          <w:p w14:paraId="11199DBC" w14:textId="77777777" w:rsidR="00A135D4" w:rsidRPr="00A135D4" w:rsidRDefault="00A135D4" w:rsidP="00A135D4">
            <w:pPr>
              <w:jc w:val="both"/>
            </w:pPr>
            <w:r w:rsidRPr="00A135D4">
              <w:t xml:space="preserve">12.Капитальное строение, инв. № 200/С-76029, наименование – мачта освещения, назначение – </w:t>
            </w:r>
            <w:proofErr w:type="gramStart"/>
            <w:r w:rsidRPr="00A135D4">
              <w:t>сооружение</w:t>
            </w:r>
            <w:proofErr w:type="gramEnd"/>
            <w:r w:rsidRPr="00A135D4">
              <w:t xml:space="preserve"> специализированное энергетики,  расположенное по адресу: </w:t>
            </w:r>
            <w:proofErr w:type="gramStart"/>
            <w:r w:rsidRPr="00A135D4">
              <w:t>Витебская</w:t>
            </w:r>
            <w:proofErr w:type="gramEnd"/>
            <w:r w:rsidRPr="00A135D4">
              <w:t xml:space="preserve"> обл., г. Витебск, ул. Транспортная, 13 </w:t>
            </w:r>
          </w:p>
          <w:p w14:paraId="1EC4E328" w14:textId="77777777" w:rsidR="00A135D4" w:rsidRPr="00A135D4" w:rsidRDefault="00A135D4" w:rsidP="00A135D4">
            <w:pPr>
              <w:jc w:val="both"/>
            </w:pPr>
            <w:r w:rsidRPr="00A135D4">
              <w:t xml:space="preserve">13.Капитальное строение, инв. № 200/С-75382, наименование – ливневая канализационная сеть, назначение – сооружение специализированное коммунального хозяйства, расположенное по адресу: </w:t>
            </w:r>
            <w:proofErr w:type="gramStart"/>
            <w:r w:rsidRPr="00A135D4">
              <w:t>Витебская</w:t>
            </w:r>
            <w:proofErr w:type="gramEnd"/>
            <w:r w:rsidRPr="00A135D4">
              <w:t xml:space="preserve"> обл., г. Витебск, ул. Транспортная, 13 </w:t>
            </w:r>
          </w:p>
          <w:p w14:paraId="024B2F4E" w14:textId="77777777" w:rsidR="00A135D4" w:rsidRPr="00A135D4" w:rsidRDefault="00A135D4" w:rsidP="00A135D4">
            <w:pPr>
              <w:jc w:val="both"/>
            </w:pPr>
            <w:r w:rsidRPr="00A135D4">
              <w:t xml:space="preserve">14.Капитальное строение, инв. № 200/С-75387, наименование – водопроводная сеть, назначение – сооружение специализированное водохозяйственного назначения, расположенное по адресу: </w:t>
            </w:r>
            <w:proofErr w:type="gramStart"/>
            <w:r w:rsidRPr="00A135D4">
              <w:t>Витебская</w:t>
            </w:r>
            <w:proofErr w:type="gramEnd"/>
            <w:r w:rsidRPr="00A135D4">
              <w:t xml:space="preserve"> обл., г. Витебск, ул. Транспортная, 13 </w:t>
            </w:r>
          </w:p>
          <w:p w14:paraId="1962788A" w14:textId="77777777" w:rsidR="00A135D4" w:rsidRPr="00A135D4" w:rsidRDefault="00A135D4" w:rsidP="00A135D4">
            <w:pPr>
              <w:jc w:val="both"/>
            </w:pPr>
            <w:r w:rsidRPr="00A135D4">
              <w:t xml:space="preserve">15.Капитальное строение, инв. № 200/С-75393, наименование – тепловая сеть, назначение – </w:t>
            </w:r>
            <w:proofErr w:type="gramStart"/>
            <w:r w:rsidRPr="00A135D4">
              <w:t>сооружение</w:t>
            </w:r>
            <w:proofErr w:type="gramEnd"/>
            <w:r w:rsidRPr="00A135D4">
              <w:t xml:space="preserve"> специализированное энергетики, расположенное по адресу: </w:t>
            </w:r>
            <w:proofErr w:type="gramStart"/>
            <w:r w:rsidRPr="00A135D4">
              <w:t>Витебская</w:t>
            </w:r>
            <w:proofErr w:type="gramEnd"/>
            <w:r w:rsidRPr="00A135D4">
              <w:t xml:space="preserve"> обл., г. Витебск, ул. Транспортная, 13 </w:t>
            </w:r>
          </w:p>
          <w:p w14:paraId="71B6F842" w14:textId="77777777" w:rsidR="00A135D4" w:rsidRPr="00A135D4" w:rsidRDefault="00A135D4" w:rsidP="00A135D4">
            <w:pPr>
              <w:jc w:val="both"/>
            </w:pPr>
          </w:p>
          <w:p w14:paraId="135F00AD" w14:textId="77777777" w:rsidR="00A135D4" w:rsidRPr="00A135D4" w:rsidRDefault="00A135D4" w:rsidP="00A135D4">
            <w:pPr>
              <w:jc w:val="both"/>
            </w:pPr>
            <w:r w:rsidRPr="00A135D4">
              <w:t>Право собственности на капитальные строения: Открытое акционерное общество "</w:t>
            </w:r>
            <w:proofErr w:type="spellStart"/>
            <w:r w:rsidRPr="00A135D4">
              <w:t>Мостострой</w:t>
            </w:r>
            <w:proofErr w:type="spellEnd"/>
            <w:r w:rsidRPr="00A135D4">
              <w:t>"</w:t>
            </w:r>
          </w:p>
          <w:p w14:paraId="3EA9BAB3" w14:textId="77777777" w:rsidR="00A135D4" w:rsidRPr="00A135D4" w:rsidRDefault="00A135D4" w:rsidP="00A135D4">
            <w:pPr>
              <w:jc w:val="both"/>
            </w:pPr>
          </w:p>
          <w:p w14:paraId="106C344E" w14:textId="77777777" w:rsidR="00A135D4" w:rsidRPr="00A135D4" w:rsidRDefault="00A135D4" w:rsidP="00A135D4">
            <w:pPr>
              <w:jc w:val="both"/>
            </w:pPr>
            <w:r w:rsidRPr="00A135D4">
              <w:t>Кадастровый номер: 240100000002000080</w:t>
            </w:r>
          </w:p>
          <w:p w14:paraId="221F4E8F" w14:textId="77777777" w:rsidR="00A135D4" w:rsidRPr="00A135D4" w:rsidRDefault="00A135D4" w:rsidP="00A135D4">
            <w:pPr>
              <w:jc w:val="both"/>
            </w:pPr>
            <w:r w:rsidRPr="00A135D4">
              <w:t xml:space="preserve">Адрес (местоположение): </w:t>
            </w:r>
            <w:proofErr w:type="gramStart"/>
            <w:r w:rsidRPr="00A135D4">
              <w:t>Витебская</w:t>
            </w:r>
            <w:proofErr w:type="gramEnd"/>
            <w:r w:rsidRPr="00A135D4">
              <w:t xml:space="preserve"> обл., г. Витебск, ул. Транспортная,13</w:t>
            </w:r>
          </w:p>
          <w:p w14:paraId="26157C99" w14:textId="77777777" w:rsidR="00A135D4" w:rsidRPr="00A135D4" w:rsidRDefault="00A135D4" w:rsidP="00A135D4">
            <w:pPr>
              <w:jc w:val="both"/>
            </w:pPr>
            <w:r w:rsidRPr="00A135D4">
              <w:t>Площадь (</w:t>
            </w:r>
            <w:proofErr w:type="gramStart"/>
            <w:r w:rsidRPr="00A135D4">
              <w:t>га</w:t>
            </w:r>
            <w:proofErr w:type="gramEnd"/>
            <w:r w:rsidRPr="00A135D4">
              <w:t>): 2.2538</w:t>
            </w:r>
          </w:p>
          <w:p w14:paraId="2159B959" w14:textId="77777777" w:rsidR="00A135D4" w:rsidRPr="00A135D4" w:rsidRDefault="00A135D4" w:rsidP="00A135D4">
            <w:pPr>
              <w:jc w:val="both"/>
            </w:pPr>
            <w:r w:rsidRPr="00A135D4">
              <w:t>Целевое назначение земельного участка: Земельный участок под производственную базу</w:t>
            </w:r>
          </w:p>
          <w:p w14:paraId="0A2854EA" w14:textId="77777777" w:rsidR="00A135D4" w:rsidRPr="00A135D4" w:rsidRDefault="00A135D4" w:rsidP="00A135D4">
            <w:pPr>
              <w:jc w:val="both"/>
            </w:pPr>
            <w:r w:rsidRPr="00A135D4">
              <w:t>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обрабатывающей промышленности</w:t>
            </w:r>
          </w:p>
          <w:p w14:paraId="3F959976" w14:textId="77777777" w:rsidR="00A135D4" w:rsidRPr="00A135D4" w:rsidRDefault="00A135D4" w:rsidP="00A135D4">
            <w:pPr>
              <w:pStyle w:val="ad"/>
              <w:spacing w:before="0" w:beforeAutospacing="0" w:after="0" w:afterAutospacing="0"/>
              <w:jc w:val="both"/>
              <w:rPr>
                <w:lang w:val="ru-RU"/>
              </w:rPr>
            </w:pPr>
            <w:r w:rsidRPr="00A135D4">
              <w:rPr>
                <w:lang w:val="ru-RU"/>
              </w:rPr>
              <w:t>Имущественные права на земельный участок: право собственности – Республика Беларусь; право постоянного пользования – ОАО «</w:t>
            </w:r>
            <w:proofErr w:type="spellStart"/>
            <w:r w:rsidRPr="00A135D4">
              <w:rPr>
                <w:lang w:val="ru-RU"/>
              </w:rPr>
              <w:t>Мостострой</w:t>
            </w:r>
            <w:proofErr w:type="spellEnd"/>
            <w:r w:rsidRPr="00A135D4">
              <w:rPr>
                <w:lang w:val="ru-RU"/>
              </w:rPr>
              <w:t>»</w:t>
            </w:r>
          </w:p>
          <w:p w14:paraId="0047466F" w14:textId="77777777" w:rsidR="00A135D4" w:rsidRPr="00A135D4" w:rsidRDefault="00A135D4" w:rsidP="00A135D4">
            <w:pPr>
              <w:pStyle w:val="ad"/>
              <w:spacing w:before="0" w:beforeAutospacing="0" w:after="0" w:afterAutospacing="0"/>
              <w:jc w:val="both"/>
              <w:rPr>
                <w:lang w:val="ru-RU"/>
              </w:rPr>
            </w:pPr>
          </w:p>
          <w:p w14:paraId="5F21E568" w14:textId="2C58B499" w:rsidR="005264A0" w:rsidRPr="00EE6051" w:rsidRDefault="00B21A07" w:rsidP="00A135D4">
            <w:pPr>
              <w:pStyle w:val="ad"/>
              <w:spacing w:before="0" w:beforeAutospacing="0" w:after="0" w:afterAutospacing="0"/>
              <w:jc w:val="both"/>
              <w:rPr>
                <w:lang w:val="ru-RU"/>
              </w:rPr>
            </w:pPr>
            <w:r w:rsidRPr="003C3F97">
              <w:rPr>
                <w:lang w:val="ru-RU"/>
              </w:rPr>
              <w:t>Переход права на земельны</w:t>
            </w:r>
            <w:r w:rsidR="00A135D4">
              <w:rPr>
                <w:lang w:val="ru-RU"/>
              </w:rPr>
              <w:t>й</w:t>
            </w:r>
            <w:r w:rsidRPr="003C3F97">
              <w:rPr>
                <w:lang w:val="ru-RU"/>
              </w:rPr>
              <w:t xml:space="preserve"> участ</w:t>
            </w:r>
            <w:r w:rsidR="00A135D4">
              <w:rPr>
                <w:lang w:val="ru-RU"/>
              </w:rPr>
              <w:t xml:space="preserve">ок </w:t>
            </w:r>
            <w:r w:rsidRPr="003C3F97">
              <w:rPr>
                <w:lang w:val="ru-RU"/>
              </w:rPr>
              <w:t>осуществляется в соответствии с действующим законодательством Республики Беларусь</w:t>
            </w:r>
          </w:p>
        </w:tc>
      </w:tr>
      <w:tr w:rsidR="00462E72" w:rsidRPr="00B637F6" w14:paraId="38445317" w14:textId="77777777" w:rsidTr="0094434B">
        <w:trPr>
          <w:trHeight w:val="885"/>
        </w:trPr>
        <w:tc>
          <w:tcPr>
            <w:tcW w:w="2557" w:type="dxa"/>
            <w:tcBorders>
              <w:left w:val="single" w:sz="4" w:space="0" w:color="auto"/>
              <w:bottom w:val="single" w:sz="4" w:space="0" w:color="auto"/>
              <w:right w:val="single" w:sz="4" w:space="0" w:color="auto"/>
            </w:tcBorders>
            <w:shd w:val="clear" w:color="auto" w:fill="auto"/>
            <w:vAlign w:val="center"/>
          </w:tcPr>
          <w:p w14:paraId="057B1493" w14:textId="006E63D2" w:rsidR="00462E72" w:rsidRPr="003C3F97" w:rsidRDefault="00462E72" w:rsidP="0094434B">
            <w:pPr>
              <w:ind w:right="-30"/>
              <w:jc w:val="both"/>
            </w:pPr>
            <w:r>
              <w:lastRenderedPageBreak/>
              <w:t>Обременения</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2C621580" w14:textId="77777777" w:rsidR="00462E72" w:rsidRPr="00462E72" w:rsidRDefault="00462E72" w:rsidP="00462E72">
            <w:pPr>
              <w:pStyle w:val="ad"/>
              <w:spacing w:before="0" w:beforeAutospacing="0" w:after="0" w:afterAutospacing="0" w:line="0" w:lineRule="atLeast"/>
              <w:jc w:val="both"/>
              <w:rPr>
                <w:lang w:val="ru-RU"/>
              </w:rPr>
            </w:pPr>
            <w:r w:rsidRPr="00462E72">
              <w:rPr>
                <w:lang w:val="ru-RU"/>
              </w:rPr>
              <w:t xml:space="preserve">Договор аренды от 29.02.2024г. №05.1-3-05/2024 с СООО «БЕЛАВТОМАЗСНРВИС», арендуемые площади: </w:t>
            </w:r>
          </w:p>
          <w:p w14:paraId="49DF8F57" w14:textId="77777777" w:rsidR="00462E72" w:rsidRPr="00462E72" w:rsidRDefault="00462E72" w:rsidP="00462E72">
            <w:pPr>
              <w:pStyle w:val="ad"/>
              <w:spacing w:before="0" w:beforeAutospacing="0" w:after="0" w:afterAutospacing="0" w:line="0" w:lineRule="atLeast"/>
              <w:jc w:val="both"/>
              <w:rPr>
                <w:lang w:val="ru-RU"/>
              </w:rPr>
            </w:pPr>
            <w:r w:rsidRPr="00462E72">
              <w:rPr>
                <w:lang w:val="ru-RU"/>
              </w:rPr>
              <w:t xml:space="preserve">- 1070,20 </w:t>
            </w:r>
            <w:proofErr w:type="spellStart"/>
            <w:r w:rsidRPr="00462E72">
              <w:rPr>
                <w:lang w:val="ru-RU"/>
              </w:rPr>
              <w:t>кв.м</w:t>
            </w:r>
            <w:proofErr w:type="spellEnd"/>
            <w:r w:rsidRPr="00462E72">
              <w:rPr>
                <w:lang w:val="ru-RU"/>
              </w:rPr>
              <w:t>. здания Производственные мастерские, инв.№ 200/С-48702;</w:t>
            </w:r>
          </w:p>
          <w:p w14:paraId="208ACD28" w14:textId="77777777" w:rsidR="00462E72" w:rsidRPr="00462E72" w:rsidRDefault="00462E72" w:rsidP="00462E72">
            <w:pPr>
              <w:pStyle w:val="ad"/>
              <w:spacing w:before="0" w:beforeAutospacing="0" w:after="0" w:afterAutospacing="0" w:line="0" w:lineRule="atLeast"/>
              <w:jc w:val="both"/>
              <w:rPr>
                <w:lang w:val="ru-RU"/>
              </w:rPr>
            </w:pPr>
            <w:r w:rsidRPr="00462E72">
              <w:rPr>
                <w:lang w:val="ru-RU"/>
              </w:rPr>
              <w:t xml:space="preserve">-155,00 </w:t>
            </w:r>
            <w:proofErr w:type="spellStart"/>
            <w:r w:rsidRPr="00462E72">
              <w:rPr>
                <w:lang w:val="ru-RU"/>
              </w:rPr>
              <w:t>кв.м</w:t>
            </w:r>
            <w:proofErr w:type="spellEnd"/>
            <w:r w:rsidRPr="00462E72">
              <w:rPr>
                <w:lang w:val="ru-RU"/>
              </w:rPr>
              <w:t>. здания Здание бытовых помещений, инв.№ 200/С-48708;</w:t>
            </w:r>
          </w:p>
          <w:p w14:paraId="07ED3520" w14:textId="77777777" w:rsidR="00462E72" w:rsidRPr="00462E72" w:rsidRDefault="00462E72" w:rsidP="00462E72">
            <w:pPr>
              <w:pStyle w:val="ad"/>
              <w:spacing w:before="0" w:beforeAutospacing="0" w:after="0" w:afterAutospacing="0" w:line="0" w:lineRule="atLeast"/>
              <w:jc w:val="both"/>
              <w:rPr>
                <w:lang w:val="ru-RU"/>
              </w:rPr>
            </w:pPr>
            <w:r w:rsidRPr="00462E72">
              <w:rPr>
                <w:lang w:val="ru-RU"/>
              </w:rPr>
              <w:t xml:space="preserve">-331,1 </w:t>
            </w:r>
            <w:proofErr w:type="spellStart"/>
            <w:r w:rsidRPr="00462E72">
              <w:rPr>
                <w:lang w:val="ru-RU"/>
              </w:rPr>
              <w:t>кв.м</w:t>
            </w:r>
            <w:proofErr w:type="spellEnd"/>
            <w:r w:rsidRPr="00462E72">
              <w:rPr>
                <w:lang w:val="ru-RU"/>
              </w:rPr>
              <w:t>. здания Гаражи, инв.№ 200/С-48703;</w:t>
            </w:r>
          </w:p>
          <w:p w14:paraId="5DD10F49" w14:textId="321BCBF1" w:rsidR="00462E72" w:rsidRPr="00A135D4" w:rsidRDefault="00462E72" w:rsidP="00462E72">
            <w:pPr>
              <w:pStyle w:val="ad"/>
              <w:spacing w:before="0" w:beforeAutospacing="0" w:after="0" w:afterAutospacing="0" w:line="0" w:lineRule="atLeast"/>
              <w:jc w:val="both"/>
              <w:rPr>
                <w:lang w:val="ru-RU"/>
              </w:rPr>
            </w:pPr>
            <w:r w:rsidRPr="00462E72">
              <w:rPr>
                <w:lang w:val="ru-RU"/>
              </w:rPr>
              <w:t xml:space="preserve">-910,0 </w:t>
            </w:r>
            <w:proofErr w:type="spellStart"/>
            <w:r w:rsidRPr="00462E72">
              <w:rPr>
                <w:lang w:val="ru-RU"/>
              </w:rPr>
              <w:t>кв.м</w:t>
            </w:r>
            <w:proofErr w:type="spellEnd"/>
            <w:r w:rsidRPr="00462E72">
              <w:rPr>
                <w:lang w:val="ru-RU"/>
              </w:rPr>
              <w:t>. часть асфальтобетонного покрытия, составная часть здания Здание бытовых помещений, инв.№ 200/С-48708.</w:t>
            </w:r>
          </w:p>
        </w:tc>
      </w:tr>
      <w:tr w:rsidR="00F5390E" w:rsidRPr="00B637F6" w14:paraId="626E77E5" w14:textId="77777777" w:rsidTr="0094434B">
        <w:trPr>
          <w:trHeight w:val="885"/>
        </w:trPr>
        <w:tc>
          <w:tcPr>
            <w:tcW w:w="2557" w:type="dxa"/>
            <w:tcBorders>
              <w:left w:val="single" w:sz="4" w:space="0" w:color="auto"/>
              <w:bottom w:val="single" w:sz="4" w:space="0" w:color="auto"/>
              <w:right w:val="single" w:sz="4" w:space="0" w:color="auto"/>
            </w:tcBorders>
            <w:shd w:val="clear" w:color="auto" w:fill="auto"/>
            <w:vAlign w:val="center"/>
          </w:tcPr>
          <w:p w14:paraId="0B3F0BC8" w14:textId="737046EC" w:rsidR="00F5390E" w:rsidRPr="005A45CC" w:rsidRDefault="00156231" w:rsidP="0094434B">
            <w:pPr>
              <w:ind w:right="-30"/>
              <w:jc w:val="both"/>
            </w:pPr>
            <w:r w:rsidRPr="003C3F97">
              <w:t xml:space="preserve">Начальная цена продажи (с учетом снижения на </w:t>
            </w:r>
            <w:r w:rsidR="00E6491C">
              <w:t>3</w:t>
            </w:r>
            <w:r w:rsidRPr="003C3F97">
              <w:t>0%)</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0CB3A285" w14:textId="06060F36" w:rsidR="005D44C9" w:rsidRPr="00156231" w:rsidRDefault="00A135D4" w:rsidP="0094434B">
            <w:pPr>
              <w:pStyle w:val="ad"/>
              <w:spacing w:before="0" w:beforeAutospacing="0" w:after="0" w:afterAutospacing="0"/>
              <w:jc w:val="both"/>
              <w:rPr>
                <w:lang w:val="ru-RU"/>
              </w:rPr>
            </w:pPr>
            <w:r w:rsidRPr="00A135D4">
              <w:rPr>
                <w:lang w:val="ru-RU"/>
              </w:rPr>
              <w:t>1 374 600,00 (Один миллион триста семьдесят четыре тысячи шестьсот) белорусских рублей 00 копеек с учетом НДС 20%.</w:t>
            </w:r>
          </w:p>
        </w:tc>
      </w:tr>
      <w:tr w:rsidR="005D44C9" w:rsidRPr="00B637F6" w14:paraId="7F2ACEE4" w14:textId="77777777" w:rsidTr="0094434B">
        <w:trPr>
          <w:trHeight w:val="41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503243CC" w14:textId="4AFE0E5E" w:rsidR="005D44C9" w:rsidRPr="003C3F97" w:rsidRDefault="005D44C9" w:rsidP="0094434B">
            <w:pPr>
              <w:ind w:right="-30"/>
              <w:jc w:val="both"/>
            </w:pPr>
            <w:r w:rsidRPr="00C75457">
              <w:t>Сумма задатка</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335FD994" w14:textId="671F3F81" w:rsidR="005D44C9" w:rsidRPr="003C3F97" w:rsidRDefault="00A135D4" w:rsidP="0094434B">
            <w:pPr>
              <w:pStyle w:val="ad"/>
              <w:spacing w:before="0" w:after="0"/>
              <w:jc w:val="both"/>
              <w:rPr>
                <w:lang w:val="ru-RU"/>
              </w:rPr>
            </w:pPr>
            <w:r w:rsidRPr="00A135D4">
              <w:rPr>
                <w:lang w:val="ru-RU"/>
              </w:rPr>
              <w:t>137 460,00 (Сто тридцать семь тысяч четыреста шестьдесят) белорусских рублей 00 копеек</w:t>
            </w:r>
          </w:p>
        </w:tc>
      </w:tr>
      <w:tr w:rsidR="0008165D" w:rsidRPr="00B637F6" w14:paraId="3C176DAE" w14:textId="77777777" w:rsidTr="0094434B">
        <w:trPr>
          <w:trHeight w:val="35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2A70E649" w14:textId="5DA9D31A" w:rsidR="0008165D" w:rsidRPr="005A45CC" w:rsidRDefault="0008165D" w:rsidP="0094434B">
            <w:pPr>
              <w:ind w:right="-30"/>
              <w:jc w:val="both"/>
            </w:pPr>
            <w:r w:rsidRPr="005A45CC">
              <w:t>Контактное лицо для осмотра</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483F366A" w14:textId="0772DB87" w:rsidR="0008165D" w:rsidRPr="005A45CC" w:rsidRDefault="00633C0A" w:rsidP="0094434B">
            <w:pPr>
              <w:ind w:right="-30"/>
              <w:jc w:val="both"/>
            </w:pPr>
            <w:r w:rsidRPr="00925797">
              <w:t>Ананич Ольга Леонидовна, тел.+375 (29) 136-19-60</w:t>
            </w:r>
          </w:p>
        </w:tc>
      </w:tr>
      <w:tr w:rsidR="00F53813" w:rsidRPr="00B637F6" w14:paraId="41B23366" w14:textId="77777777" w:rsidTr="00A135D4">
        <w:trPr>
          <w:trHeight w:val="517"/>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B637F6" w:rsidRDefault="00F53813" w:rsidP="0094434B">
            <w:pPr>
              <w:jc w:val="center"/>
              <w:rPr>
                <w:color w:val="000000"/>
              </w:rPr>
            </w:pPr>
            <w:r w:rsidRPr="00B637F6">
              <w:rPr>
                <w:color w:val="000000"/>
              </w:rPr>
              <w:t>Шаг электронных торгов</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B637F6" w:rsidRDefault="00F53813" w:rsidP="0094434B">
            <w:pPr>
              <w:pStyle w:val="newncpi"/>
              <w:ind w:firstLine="0"/>
            </w:pPr>
            <w:r w:rsidRPr="00B637F6">
              <w:t>5 %</w:t>
            </w:r>
            <w:r w:rsidR="00281CCD" w:rsidRPr="00B637F6">
              <w:t>, устанавливается в фиксированной сумме от начальной цены лота и не изменяется в течение всего периода проведения электронных торгов</w:t>
            </w:r>
          </w:p>
        </w:tc>
      </w:tr>
      <w:tr w:rsidR="00F53813" w:rsidRPr="00B637F6" w14:paraId="7AA65640" w14:textId="77777777" w:rsidTr="0094434B">
        <w:trPr>
          <w:trHeight w:val="140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B637F6" w:rsidRDefault="00F53813" w:rsidP="0094434B">
            <w:pPr>
              <w:jc w:val="center"/>
              <w:rPr>
                <w:color w:val="000000"/>
              </w:rPr>
            </w:pPr>
            <w:r w:rsidRPr="00B637F6">
              <w:rPr>
                <w:color w:val="000000"/>
              </w:rPr>
              <w:t>Реквизиты для перечисления задатка</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Default="00D174FF" w:rsidP="0094434B">
            <w:pPr>
              <w:pStyle w:val="newncpi"/>
              <w:ind w:firstLine="0"/>
            </w:pPr>
            <w:r>
              <w:t xml:space="preserve">р/с BY85BAPB30127802900100000000 </w:t>
            </w:r>
          </w:p>
          <w:p w14:paraId="7A85D0C0" w14:textId="5D5488BA" w:rsidR="00BB71F1" w:rsidRPr="00B637F6" w:rsidRDefault="00D174FF" w:rsidP="0094434B">
            <w:pPr>
              <w:pStyle w:val="newncpi"/>
              <w:ind w:firstLine="0"/>
            </w:pPr>
            <w:r>
              <w:t>ОАО «</w:t>
            </w:r>
            <w:proofErr w:type="spellStart"/>
            <w:r>
              <w:t>Белагропромбанк</w:t>
            </w:r>
            <w:proofErr w:type="spellEnd"/>
            <w:r>
              <w:t xml:space="preserve">», BIC BAPBBY2X, г. Минск, ул. Романовская Слобода, 8, УНП 190055182, назначение платежа – задаток за участие в </w:t>
            </w:r>
            <w:r w:rsidR="00986BE9">
              <w:t>электронных торгах</w:t>
            </w:r>
            <w:r>
              <w:t>, код платежа – 40901. Получатель платежа – Витебский филиал РУП «Институт недвижимости и оценки»</w:t>
            </w:r>
          </w:p>
        </w:tc>
      </w:tr>
      <w:tr w:rsidR="00F53813" w:rsidRPr="00B637F6" w14:paraId="1AAA606E" w14:textId="77777777" w:rsidTr="0094434B">
        <w:trPr>
          <w:trHeight w:val="74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ED74A3" w:rsidRDefault="00F53813" w:rsidP="0094434B">
            <w:pPr>
              <w:jc w:val="center"/>
            </w:pPr>
            <w:r w:rsidRPr="00ED74A3">
              <w:t xml:space="preserve">Дата и время окончания приема заявлений </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09A75877" w:rsidR="00F53813" w:rsidRPr="00ED74A3" w:rsidRDefault="00F53813" w:rsidP="00654702">
            <w:pPr>
              <w:rPr>
                <w:b/>
                <w:bCs/>
                <w:i/>
                <w:iCs/>
              </w:rPr>
            </w:pPr>
            <w:r w:rsidRPr="00ED74A3">
              <w:rPr>
                <w:b/>
                <w:bCs/>
              </w:rPr>
              <w:t xml:space="preserve">по </w:t>
            </w:r>
            <w:r w:rsidR="00654702">
              <w:rPr>
                <w:b/>
                <w:bCs/>
              </w:rPr>
              <w:t>1</w:t>
            </w:r>
            <w:r w:rsidR="00EC5081">
              <w:rPr>
                <w:b/>
                <w:bCs/>
              </w:rPr>
              <w:t>7</w:t>
            </w:r>
            <w:r w:rsidR="00F5390E" w:rsidRPr="00ED74A3">
              <w:rPr>
                <w:b/>
                <w:bCs/>
              </w:rPr>
              <w:t>.</w:t>
            </w:r>
            <w:r w:rsidR="006D38A7">
              <w:rPr>
                <w:b/>
                <w:bCs/>
              </w:rPr>
              <w:t>0</w:t>
            </w:r>
            <w:r w:rsidR="00654702">
              <w:rPr>
                <w:b/>
                <w:bCs/>
              </w:rPr>
              <w:t>6</w:t>
            </w:r>
            <w:bookmarkStart w:id="0" w:name="_GoBack"/>
            <w:bookmarkEnd w:id="0"/>
            <w:r w:rsidR="00F5390E" w:rsidRPr="00ED74A3">
              <w:rPr>
                <w:b/>
                <w:bCs/>
              </w:rPr>
              <w:t>.202</w:t>
            </w:r>
            <w:r w:rsidR="006D38A7">
              <w:rPr>
                <w:b/>
                <w:bCs/>
              </w:rPr>
              <w:t>6</w:t>
            </w:r>
            <w:r w:rsidR="00D151EF">
              <w:rPr>
                <w:b/>
                <w:bCs/>
              </w:rPr>
              <w:t xml:space="preserve"> до 12</w:t>
            </w:r>
            <w:r w:rsidRPr="00ED74A3">
              <w:rPr>
                <w:b/>
                <w:bCs/>
              </w:rPr>
              <w:t>.</w:t>
            </w:r>
            <w:r w:rsidR="00F5390E" w:rsidRPr="00ED74A3">
              <w:rPr>
                <w:b/>
                <w:bCs/>
              </w:rPr>
              <w:t>0</w:t>
            </w:r>
            <w:r w:rsidRPr="00ED74A3">
              <w:rPr>
                <w:b/>
                <w:bCs/>
              </w:rPr>
              <w:t>0</w:t>
            </w:r>
          </w:p>
        </w:tc>
      </w:tr>
      <w:tr w:rsidR="00F53813" w:rsidRPr="00B637F6" w14:paraId="5AF0F435" w14:textId="77777777" w:rsidTr="0094434B">
        <w:trPr>
          <w:trHeight w:val="157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B637F6" w:rsidRDefault="00F53813" w:rsidP="0094434B">
            <w:pPr>
              <w:jc w:val="center"/>
              <w:rPr>
                <w:color w:val="000000"/>
              </w:rPr>
            </w:pPr>
            <w:r w:rsidRPr="00B637F6">
              <w:rPr>
                <w:color w:val="000000"/>
              </w:rPr>
              <w:t>Сведения о продавце</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603BF8C8" w14:textId="2825376B" w:rsidR="00A135D4" w:rsidRDefault="00156231" w:rsidP="0094434B">
            <w:pPr>
              <w:spacing w:line="240" w:lineRule="exact"/>
            </w:pPr>
            <w:r w:rsidRPr="003C3F97">
              <w:t>Открытое акционерное общество «</w:t>
            </w:r>
            <w:proofErr w:type="spellStart"/>
            <w:r w:rsidRPr="003C3F97">
              <w:t>М</w:t>
            </w:r>
            <w:r w:rsidR="00A135D4">
              <w:t>остострой</w:t>
            </w:r>
            <w:proofErr w:type="spellEnd"/>
            <w:r w:rsidRPr="003C3F97">
              <w:t>»</w:t>
            </w:r>
            <w:r w:rsidR="00A135D4">
              <w:t>,</w:t>
            </w:r>
          </w:p>
          <w:p w14:paraId="637DA839" w14:textId="77777777" w:rsidR="00A135D4" w:rsidRDefault="00A135D4" w:rsidP="0094434B">
            <w:pPr>
              <w:spacing w:line="240" w:lineRule="exact"/>
            </w:pPr>
            <w:r>
              <w:t xml:space="preserve">220036, </w:t>
            </w:r>
            <w:proofErr w:type="spellStart"/>
            <w:r>
              <w:t>г</w:t>
            </w:r>
            <w:proofErr w:type="gramStart"/>
            <w:r>
              <w:t>.М</w:t>
            </w:r>
            <w:proofErr w:type="gramEnd"/>
            <w:r>
              <w:t>инск</w:t>
            </w:r>
            <w:proofErr w:type="spellEnd"/>
            <w:r>
              <w:t xml:space="preserve">, </w:t>
            </w:r>
            <w:proofErr w:type="spellStart"/>
            <w:r>
              <w:t>пер.Домашевский</w:t>
            </w:r>
            <w:proofErr w:type="spellEnd"/>
            <w:r>
              <w:t>, 11,</w:t>
            </w:r>
          </w:p>
          <w:p w14:paraId="45646808" w14:textId="77777777" w:rsidR="00A135D4" w:rsidRDefault="00A135D4" w:rsidP="0094434B">
            <w:pPr>
              <w:spacing w:line="240" w:lineRule="exact"/>
            </w:pPr>
            <w:r>
              <w:t>Ф</w:t>
            </w:r>
            <w:r w:rsidR="00156231" w:rsidRPr="003C3F97">
              <w:t>илиал «Мостостроительное управление № 5»</w:t>
            </w:r>
            <w:r>
              <w:t xml:space="preserve"> </w:t>
            </w:r>
            <w:r w:rsidRPr="00A135D4">
              <w:t>О</w:t>
            </w:r>
            <w:r>
              <w:t>ткрытое акционерное общество «</w:t>
            </w:r>
            <w:proofErr w:type="spellStart"/>
            <w:r>
              <w:t>Мостострой</w:t>
            </w:r>
            <w:proofErr w:type="spellEnd"/>
            <w:r w:rsidRPr="00A135D4">
              <w:t>»</w:t>
            </w:r>
          </w:p>
          <w:p w14:paraId="2867C0F6" w14:textId="37F7D4E5" w:rsidR="00156231" w:rsidRPr="005D763F" w:rsidRDefault="00156231" w:rsidP="0094434B">
            <w:pPr>
              <w:spacing w:line="240" w:lineRule="exact"/>
            </w:pPr>
            <w:r w:rsidRPr="003C3F97">
              <w:t xml:space="preserve"> 210034, г. Витебск, ул. </w:t>
            </w:r>
            <w:proofErr w:type="gramStart"/>
            <w:r w:rsidRPr="003C3F97">
              <w:t>Ленинградская</w:t>
            </w:r>
            <w:proofErr w:type="gramEnd"/>
            <w:r w:rsidRPr="003C3F97">
              <w:t>, 136, А, тел</w:t>
            </w:r>
            <w:r w:rsidRPr="005D763F">
              <w:t xml:space="preserve">. 80212 64-70-97, </w:t>
            </w:r>
            <w:r w:rsidRPr="003C3F97">
              <w:rPr>
                <w:lang w:val="en-US"/>
              </w:rPr>
              <w:t>e</w:t>
            </w:r>
            <w:r w:rsidRPr="005D763F">
              <w:t>-</w:t>
            </w:r>
            <w:r w:rsidRPr="003C3F97">
              <w:rPr>
                <w:lang w:val="en-US"/>
              </w:rPr>
              <w:t>mail</w:t>
            </w:r>
            <w:r w:rsidRPr="005D763F">
              <w:t xml:space="preserve">: </w:t>
            </w:r>
            <w:proofErr w:type="spellStart"/>
            <w:r w:rsidR="00EE59D5" w:rsidRPr="00EE59D5">
              <w:rPr>
                <w:lang w:val="en-US"/>
              </w:rPr>
              <w:t>msu</w:t>
            </w:r>
            <w:proofErr w:type="spellEnd"/>
            <w:r w:rsidR="00EE59D5" w:rsidRPr="005D763F">
              <w:t>5.</w:t>
            </w:r>
            <w:proofErr w:type="spellStart"/>
            <w:r w:rsidR="00EE59D5" w:rsidRPr="00EE59D5">
              <w:rPr>
                <w:lang w:val="en-US"/>
              </w:rPr>
              <w:t>kadry</w:t>
            </w:r>
            <w:proofErr w:type="spellEnd"/>
            <w:r w:rsidR="00EE59D5" w:rsidRPr="005D763F">
              <w:t>@</w:t>
            </w:r>
            <w:proofErr w:type="spellStart"/>
            <w:r w:rsidR="00EE59D5" w:rsidRPr="00EE59D5">
              <w:rPr>
                <w:lang w:val="en-US"/>
              </w:rPr>
              <w:t>mostostroy</w:t>
            </w:r>
            <w:proofErr w:type="spellEnd"/>
            <w:r w:rsidR="00EE59D5" w:rsidRPr="005D763F">
              <w:t>.</w:t>
            </w:r>
            <w:r w:rsidR="00EE59D5" w:rsidRPr="00EE59D5">
              <w:rPr>
                <w:lang w:val="en-US"/>
              </w:rPr>
              <w:t>by</w:t>
            </w:r>
          </w:p>
          <w:p w14:paraId="2F62691F" w14:textId="77777777" w:rsidR="00156231" w:rsidRPr="003C3F97" w:rsidRDefault="00156231" w:rsidP="0094434B">
            <w:pPr>
              <w:ind w:right="-334"/>
              <w:rPr>
                <w:bCs/>
                <w:iCs/>
              </w:rPr>
            </w:pPr>
            <w:proofErr w:type="gramStart"/>
            <w:r w:rsidRPr="003C3F97">
              <w:rPr>
                <w:bCs/>
                <w:iCs/>
              </w:rPr>
              <w:t>р</w:t>
            </w:r>
            <w:proofErr w:type="gramEnd"/>
            <w:r w:rsidRPr="003C3F97">
              <w:rPr>
                <w:bCs/>
                <w:iCs/>
              </w:rPr>
              <w:t xml:space="preserve">/счет </w:t>
            </w:r>
            <w:r w:rsidRPr="003C3F97">
              <w:rPr>
                <w:lang w:val="en-US"/>
              </w:rPr>
              <w:t>BY</w:t>
            </w:r>
            <w:r w:rsidRPr="003C3F97">
              <w:t>36</w:t>
            </w:r>
            <w:r w:rsidRPr="003C3F97">
              <w:rPr>
                <w:lang w:val="en-US"/>
              </w:rPr>
              <w:t>BPSB</w:t>
            </w:r>
            <w:r w:rsidRPr="003C3F97">
              <w:t>30121159540129330000</w:t>
            </w:r>
          </w:p>
          <w:p w14:paraId="6D67963D" w14:textId="77777777" w:rsidR="00156231" w:rsidRPr="003C3F97" w:rsidRDefault="00156231" w:rsidP="0094434B">
            <w:pPr>
              <w:ind w:right="-334"/>
              <w:rPr>
                <w:bCs/>
                <w:iCs/>
              </w:rPr>
            </w:pPr>
            <w:r w:rsidRPr="003C3F97">
              <w:rPr>
                <w:bCs/>
                <w:iCs/>
              </w:rPr>
              <w:t xml:space="preserve">в Региональной дирекции № 200 </w:t>
            </w:r>
          </w:p>
          <w:p w14:paraId="39FB830B" w14:textId="77777777" w:rsidR="00156231" w:rsidRPr="003C3F97" w:rsidRDefault="00156231" w:rsidP="0094434B">
            <w:pPr>
              <w:ind w:right="-334"/>
              <w:rPr>
                <w:bCs/>
                <w:iCs/>
              </w:rPr>
            </w:pPr>
            <w:r w:rsidRPr="003C3F97">
              <w:rPr>
                <w:bCs/>
                <w:iCs/>
              </w:rPr>
              <w:t>ОАО «</w:t>
            </w:r>
            <w:proofErr w:type="spellStart"/>
            <w:r w:rsidRPr="003C3F97">
              <w:rPr>
                <w:bCs/>
                <w:iCs/>
              </w:rPr>
              <w:t>СберБанк</w:t>
            </w:r>
            <w:proofErr w:type="spellEnd"/>
            <w:r w:rsidRPr="003C3F97">
              <w:rPr>
                <w:bCs/>
                <w:iCs/>
              </w:rPr>
              <w:t xml:space="preserve">», </w:t>
            </w:r>
            <w:r w:rsidRPr="003C3F97">
              <w:rPr>
                <w:bCs/>
                <w:iCs/>
                <w:lang w:val="en-US"/>
              </w:rPr>
              <w:t>BIC</w:t>
            </w:r>
            <w:r w:rsidRPr="003C3F97">
              <w:rPr>
                <w:bCs/>
                <w:iCs/>
              </w:rPr>
              <w:t xml:space="preserve"> </w:t>
            </w:r>
            <w:r w:rsidRPr="003C3F97">
              <w:rPr>
                <w:bCs/>
                <w:iCs/>
                <w:lang w:val="en-US"/>
              </w:rPr>
              <w:t>BPSBBY</w:t>
            </w:r>
            <w:r w:rsidRPr="003C3F97">
              <w:rPr>
                <w:bCs/>
                <w:iCs/>
              </w:rPr>
              <w:t>2</w:t>
            </w:r>
            <w:r w:rsidRPr="003C3F97">
              <w:rPr>
                <w:bCs/>
                <w:iCs/>
                <w:lang w:val="en-US"/>
              </w:rPr>
              <w:t>X</w:t>
            </w:r>
            <w:r w:rsidRPr="003C3F97">
              <w:rPr>
                <w:bCs/>
                <w:iCs/>
              </w:rPr>
              <w:t>,</w:t>
            </w:r>
          </w:p>
          <w:p w14:paraId="2425D88A" w14:textId="00DF1198" w:rsidR="004F6555" w:rsidRPr="00B637F6" w:rsidRDefault="00156231" w:rsidP="0094434B">
            <w:pPr>
              <w:jc w:val="both"/>
            </w:pPr>
            <w:r w:rsidRPr="003C3F97">
              <w:rPr>
                <w:bCs/>
                <w:iCs/>
              </w:rPr>
              <w:t>УНП 300229757, ОКПО 034550372001</w:t>
            </w:r>
          </w:p>
        </w:tc>
      </w:tr>
      <w:tr w:rsidR="00F53813" w:rsidRPr="00B637F6" w14:paraId="054A93A2" w14:textId="77777777" w:rsidTr="00A135D4">
        <w:trPr>
          <w:trHeight w:val="827"/>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66AB7C0E" w:rsidR="00F53813" w:rsidRPr="00B637F6" w:rsidRDefault="00F53813" w:rsidP="0094434B">
            <w:pPr>
              <w:jc w:val="center"/>
              <w:rPr>
                <w:color w:val="000000"/>
              </w:rPr>
            </w:pPr>
            <w:r w:rsidRPr="00B637F6">
              <w:rPr>
                <w:color w:val="000000"/>
              </w:rPr>
              <w:t>Организатор электронных торгов и оператор ЭТП</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B637F6" w:rsidRDefault="00F53813" w:rsidP="0094434B">
            <w:r w:rsidRPr="00B637F6">
              <w:t xml:space="preserve">Витебский филиал РУП «Институт недвижимости и оценки», г. Витебск                         ул. Свидинского, 4, 210016, УНП </w:t>
            </w:r>
            <w:r w:rsidR="00D174FF" w:rsidRPr="00D174FF">
              <w:t xml:space="preserve"> 190055182</w:t>
            </w:r>
            <w:r w:rsidRPr="00B637F6">
              <w:t xml:space="preserve">,  </w:t>
            </w:r>
          </w:p>
          <w:p w14:paraId="60A06B8B" w14:textId="18F975EF" w:rsidR="00F53813" w:rsidRPr="00B637F6" w:rsidRDefault="00F53813" w:rsidP="0094434B">
            <w:pPr>
              <w:rPr>
                <w:b/>
              </w:rPr>
            </w:pPr>
            <w:r w:rsidRPr="00B637F6">
              <w:t>тел. 8 0212 366-366, 365-365- 365-495, 29 591 00 02, 29 384 24 05</w:t>
            </w:r>
          </w:p>
        </w:tc>
      </w:tr>
      <w:tr w:rsidR="00F53813" w:rsidRPr="00B637F6" w14:paraId="5DE80E92" w14:textId="77777777" w:rsidTr="0094434B">
        <w:trPr>
          <w:trHeight w:val="54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B637F6" w:rsidRDefault="00F53813" w:rsidP="0094434B">
            <w:pPr>
              <w:jc w:val="center"/>
              <w:rPr>
                <w:color w:val="000000"/>
              </w:rPr>
            </w:pPr>
            <w:r w:rsidRPr="00B637F6">
              <w:rPr>
                <w:color w:val="000000"/>
              </w:rPr>
              <w:t>Электронный адрес ЭТП</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2BBEED92" w14:textId="77777777" w:rsidR="00F53813" w:rsidRDefault="00654702" w:rsidP="0094434B">
            <w:pPr>
              <w:rPr>
                <w:b/>
                <w:bCs/>
              </w:rPr>
            </w:pPr>
            <w:hyperlink r:id="rId6" w:history="1">
              <w:r w:rsidR="00F53813" w:rsidRPr="00B637F6">
                <w:rPr>
                  <w:b/>
                  <w:bCs/>
                </w:rPr>
                <w:t>www.gostorg.by</w:t>
              </w:r>
            </w:hyperlink>
          </w:p>
          <w:p w14:paraId="0C98D31F" w14:textId="6CB66205" w:rsidR="0094434B" w:rsidRPr="00B637F6" w:rsidRDefault="0094434B" w:rsidP="0094434B">
            <w:pPr>
              <w:rPr>
                <w:b/>
                <w:bCs/>
                <w:color w:val="000000"/>
              </w:rPr>
            </w:pPr>
          </w:p>
        </w:tc>
      </w:tr>
      <w:tr w:rsidR="0094434B" w:rsidRPr="00B637F6" w14:paraId="4F0B4C10" w14:textId="77777777" w:rsidTr="0094434B">
        <w:trPr>
          <w:trHeight w:val="153"/>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A2A26A8" w14:textId="00EA60E3" w:rsidR="0094434B" w:rsidRPr="00B637F6" w:rsidRDefault="0094434B" w:rsidP="0094434B">
            <w:pPr>
              <w:jc w:val="center"/>
              <w:rPr>
                <w:color w:val="000000"/>
              </w:rPr>
            </w:pPr>
            <w:r w:rsidRPr="00B637F6">
              <w:rPr>
                <w:color w:val="000000"/>
              </w:rPr>
              <w:t>Порядок регистрации на электронные торги</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3A93A102" w14:textId="77777777" w:rsidR="0094434B" w:rsidRPr="00B637F6" w:rsidRDefault="0094434B" w:rsidP="0094434B">
            <w:pPr>
              <w:jc w:val="both"/>
            </w:pPr>
            <w:r w:rsidRPr="00B637F6">
              <w:t>Для участия в торгах необходимо пройти 3 шага: первичная регистрация, регистрация на ЭТП, подача заявления на участие в торгах.</w:t>
            </w:r>
          </w:p>
          <w:p w14:paraId="4C949A93" w14:textId="77777777" w:rsidR="0094434B" w:rsidRPr="00B637F6" w:rsidRDefault="0094434B" w:rsidP="0094434B">
            <w:pPr>
              <w:jc w:val="both"/>
            </w:pPr>
            <w:r w:rsidRPr="00B637F6">
              <w:t>ШАГ 1. Первичная регистрация</w:t>
            </w:r>
          </w:p>
          <w:p w14:paraId="7BFADE54" w14:textId="77777777" w:rsidR="0094434B" w:rsidRPr="00B637F6" w:rsidRDefault="0094434B" w:rsidP="0094434B">
            <w:pPr>
              <w:jc w:val="both"/>
            </w:pPr>
            <w:r w:rsidRPr="00B637F6">
              <w:t>- кликните иконку «Мой кабинет» в верхнем правом углу (в настоящее время доступна регистрация через электронную почту);</w:t>
            </w:r>
          </w:p>
          <w:p w14:paraId="6230300E" w14:textId="77777777" w:rsidR="0094434B" w:rsidRPr="00B637F6" w:rsidRDefault="0094434B" w:rsidP="0094434B">
            <w:pPr>
              <w:jc w:val="both"/>
            </w:pPr>
            <w:r w:rsidRPr="00B637F6">
              <w:t>- задайте логин, пароль и электронную почту пользователя;</w:t>
            </w:r>
          </w:p>
          <w:p w14:paraId="6DB0665F" w14:textId="77777777" w:rsidR="0094434B" w:rsidRPr="00B637F6" w:rsidRDefault="0094434B" w:rsidP="0094434B">
            <w:pPr>
              <w:jc w:val="both"/>
            </w:pPr>
            <w:r w:rsidRPr="00B637F6">
              <w:t>- кликните по кнопке «Регистрация» и перейдите на страницу «Мой кабинет». Дополнительно к Вам на почту поступит подтверждающее письмо.</w:t>
            </w:r>
          </w:p>
          <w:p w14:paraId="235429D3" w14:textId="77777777" w:rsidR="0094434B" w:rsidRPr="00B637F6" w:rsidRDefault="0094434B" w:rsidP="0094434B">
            <w:pPr>
              <w:jc w:val="both"/>
            </w:pPr>
            <w:r w:rsidRPr="00B637F6">
              <w:t>ШАГ 2. Регистрация на ЭТП</w:t>
            </w:r>
          </w:p>
          <w:p w14:paraId="6ED538ED" w14:textId="77777777" w:rsidR="0094434B" w:rsidRPr="00B637F6" w:rsidRDefault="0094434B" w:rsidP="0094434B">
            <w:pPr>
              <w:jc w:val="both"/>
            </w:pPr>
            <w:r w:rsidRPr="00B637F6">
              <w:t>- введите логин и пароль для входа в личный кабинет;</w:t>
            </w:r>
          </w:p>
          <w:p w14:paraId="04F5BB8F" w14:textId="77777777" w:rsidR="0094434B" w:rsidRPr="00B637F6" w:rsidRDefault="0094434B" w:rsidP="0094434B">
            <w:pPr>
              <w:jc w:val="both"/>
            </w:pPr>
            <w:r w:rsidRPr="00B637F6">
              <w:t>- заполните данные на вкладке «Мои данные»;</w:t>
            </w:r>
          </w:p>
          <w:p w14:paraId="62292028" w14:textId="77777777" w:rsidR="0094434B" w:rsidRPr="00B637F6" w:rsidRDefault="0094434B" w:rsidP="0094434B">
            <w:pPr>
              <w:jc w:val="both"/>
            </w:pPr>
            <w:r w:rsidRPr="00B637F6">
              <w:t>- кликните по кнопке «Сохранить и отправить». Ваши данные отправлены оператору ЭТП;</w:t>
            </w:r>
          </w:p>
          <w:p w14:paraId="5EC39C1C" w14:textId="77777777" w:rsidR="0094434B" w:rsidRPr="00B637F6" w:rsidRDefault="0094434B" w:rsidP="0094434B">
            <w:pPr>
              <w:jc w:val="both"/>
            </w:pPr>
            <w:r w:rsidRPr="00B637F6">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1148C880" w14:textId="77777777" w:rsidR="0094434B" w:rsidRPr="00B637F6" w:rsidRDefault="0094434B" w:rsidP="0094434B">
            <w:pPr>
              <w:jc w:val="both"/>
            </w:pPr>
            <w:r w:rsidRPr="00B637F6">
              <w:lastRenderedPageBreak/>
              <w:t>- кликните по кнопке «Сохранить и отправить». Ваши данные отправлены оператору ЭТП;</w:t>
            </w:r>
          </w:p>
          <w:p w14:paraId="30408050" w14:textId="77777777" w:rsidR="0094434B" w:rsidRPr="00B637F6" w:rsidRDefault="0094434B" w:rsidP="0094434B">
            <w:pPr>
              <w:jc w:val="both"/>
            </w:pPr>
            <w:r w:rsidRPr="00B637F6">
              <w:t xml:space="preserve">- дождитесь уведомление от оператора ЭТП о прохождении </w:t>
            </w:r>
            <w:proofErr w:type="spellStart"/>
            <w:r w:rsidRPr="00B637F6">
              <w:t>модерации</w:t>
            </w:r>
            <w:proofErr w:type="spellEnd"/>
            <w:r w:rsidRPr="00B637F6">
              <w:t xml:space="preserve"> после рассмотрения заявки оператором ЭТП и ее принятия в установленном Регламентом ЭТП порядке.</w:t>
            </w:r>
          </w:p>
          <w:p w14:paraId="35873E2D" w14:textId="77777777" w:rsidR="0094434B" w:rsidRPr="00B637F6" w:rsidRDefault="0094434B" w:rsidP="0094434B">
            <w:pPr>
              <w:jc w:val="both"/>
            </w:pPr>
            <w:r w:rsidRPr="00B637F6">
              <w:t>ШАГ 3. Подача заявления на участие в торгах</w:t>
            </w:r>
          </w:p>
          <w:p w14:paraId="20691845" w14:textId="77777777" w:rsidR="0094434B" w:rsidRPr="00B637F6" w:rsidRDefault="0094434B" w:rsidP="0094434B">
            <w:pPr>
              <w:jc w:val="both"/>
            </w:pPr>
            <w:r w:rsidRPr="00B637F6">
              <w:t>- выберите интересующие Вас торги и ознакомьтесь с информацией о них;</w:t>
            </w:r>
          </w:p>
          <w:p w14:paraId="7AD4D353" w14:textId="77777777" w:rsidR="0094434B" w:rsidRPr="00B637F6" w:rsidRDefault="0094434B" w:rsidP="0094434B">
            <w:pPr>
              <w:jc w:val="both"/>
            </w:pPr>
            <w:r w:rsidRPr="00B637F6">
              <w:t>- кликните по кнопке «Участвовать в аукционе»;</w:t>
            </w:r>
          </w:p>
          <w:p w14:paraId="51BC0333" w14:textId="77777777" w:rsidR="0094434B" w:rsidRPr="00B637F6" w:rsidRDefault="0094434B" w:rsidP="0094434B">
            <w:pPr>
              <w:jc w:val="both"/>
            </w:pPr>
            <w:r w:rsidRPr="00B637F6">
              <w:t>- заполните экранную форму заявления на участие в торгах;</w:t>
            </w:r>
          </w:p>
          <w:p w14:paraId="34D39285" w14:textId="77777777" w:rsidR="0094434B" w:rsidRPr="00B637F6" w:rsidRDefault="0094434B" w:rsidP="0094434B">
            <w:pPr>
              <w:jc w:val="both"/>
            </w:pPr>
            <w:r w:rsidRPr="00B637F6">
              <w:t>- внесите задаток и прикрепите чек об оплате;</w:t>
            </w:r>
          </w:p>
          <w:p w14:paraId="33A8CDBC" w14:textId="77777777" w:rsidR="0094434B" w:rsidRPr="00B637F6" w:rsidRDefault="0094434B" w:rsidP="0094434B">
            <w:pPr>
              <w:jc w:val="both"/>
            </w:pPr>
            <w:r w:rsidRPr="00B637F6">
              <w:t>- примите условия соглашения о правах и обязанностях;</w:t>
            </w:r>
          </w:p>
          <w:p w14:paraId="6DE981D5" w14:textId="77777777" w:rsidR="0094434B" w:rsidRPr="00B637F6" w:rsidRDefault="0094434B" w:rsidP="0094434B">
            <w:pPr>
              <w:jc w:val="both"/>
            </w:pPr>
            <w:r w:rsidRPr="00B637F6">
              <w:t>- кликните по кнопке «Отправить заявку на участие в торгах»;</w:t>
            </w:r>
          </w:p>
          <w:p w14:paraId="3226AEBB" w14:textId="77777777" w:rsidR="0094434B" w:rsidRPr="00B637F6" w:rsidRDefault="0094434B" w:rsidP="0094434B">
            <w:pPr>
              <w:jc w:val="both"/>
            </w:pPr>
            <w:r w:rsidRPr="00B637F6">
              <w:t>- ожидайте уведомление оператора ЭТП о регистрации на торги;</w:t>
            </w:r>
          </w:p>
          <w:p w14:paraId="110A1A6C" w14:textId="77777777" w:rsidR="0094434B" w:rsidRPr="00B637F6" w:rsidRDefault="0094434B" w:rsidP="0094434B">
            <w:pPr>
              <w:jc w:val="both"/>
            </w:pPr>
            <w:r w:rsidRPr="00B637F6">
              <w:t>- участвуйте в торгах в назначенное время. Удачных торгов!</w:t>
            </w:r>
          </w:p>
          <w:p w14:paraId="4E19CE47" w14:textId="4BA45695" w:rsidR="0094434B" w:rsidRDefault="0094434B" w:rsidP="0094434B">
            <w:r w:rsidRPr="00B637F6">
              <w:t xml:space="preserve">Перечень документов для участия в торгах и требования к их оформлению указаны в </w:t>
            </w:r>
            <w:proofErr w:type="spellStart"/>
            <w:r w:rsidRPr="00B637F6">
              <w:t>п.п</w:t>
            </w:r>
            <w:proofErr w:type="spellEnd"/>
            <w:r w:rsidRPr="00B637F6">
              <w:t>. 2.2.3 Регламента электронной торговой площадки «GOSTORG».</w:t>
            </w:r>
          </w:p>
        </w:tc>
      </w:tr>
      <w:tr w:rsidR="00F53813" w:rsidRPr="00B637F6" w14:paraId="54BACA00" w14:textId="77777777" w:rsidTr="002B21FC">
        <w:trPr>
          <w:trHeight w:val="97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B637F6" w:rsidRDefault="00F53813" w:rsidP="005D44C9">
            <w:pPr>
              <w:jc w:val="center"/>
              <w:rPr>
                <w:color w:val="000000"/>
              </w:rPr>
            </w:pPr>
            <w:r w:rsidRPr="00B637F6">
              <w:rPr>
                <w:color w:val="000000"/>
              </w:rPr>
              <w:lastRenderedPageBreak/>
              <w:t xml:space="preserve">Срок отказа от проведения торгов </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F53813" w:rsidRPr="00B637F6" w:rsidRDefault="00F53813" w:rsidP="005D44C9">
            <w:pPr>
              <w:jc w:val="both"/>
            </w:pPr>
            <w:r w:rsidRPr="00B637F6">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F53813" w:rsidRPr="00B637F6" w14:paraId="262EA3DD" w14:textId="77777777" w:rsidTr="00E83667">
        <w:trPr>
          <w:trHeight w:val="41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B637F6" w:rsidRDefault="00F53813" w:rsidP="005D44C9">
            <w:pPr>
              <w:jc w:val="center"/>
              <w:rPr>
                <w:color w:val="FF0000"/>
              </w:rPr>
            </w:pPr>
            <w:r w:rsidRPr="00B637F6">
              <w:t xml:space="preserve">Условия </w:t>
            </w:r>
            <w:r w:rsidR="005A084B">
              <w:t>электронных торгов</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5D538381" w14:textId="77777777" w:rsidR="00A135D4" w:rsidRPr="00E87C57" w:rsidRDefault="00A135D4" w:rsidP="00A135D4">
            <w:pPr>
              <w:tabs>
                <w:tab w:val="center" w:pos="345"/>
                <w:tab w:val="right" w:pos="8306"/>
              </w:tabs>
              <w:spacing w:after="120"/>
              <w:ind w:right="30"/>
              <w:jc w:val="both"/>
            </w:pPr>
            <w:r w:rsidRPr="00E87C57">
              <w:t xml:space="preserve">Победитель электронных торгов либо единственный участник электронных торгов, выразивший согласие на приобретение предмета электронных торгов по </w:t>
            </w:r>
            <w:proofErr w:type="gramStart"/>
            <w:r w:rsidRPr="00E87C57">
              <w:t>начальной цене, увеличенной на пять</w:t>
            </w:r>
            <w:proofErr w:type="gramEnd"/>
            <w:r w:rsidRPr="00E87C57">
              <w:t xml:space="preserve"> процентов (Претендент на покупку) обязан:</w:t>
            </w:r>
          </w:p>
          <w:p w14:paraId="67E8C434" w14:textId="77777777" w:rsidR="00A135D4" w:rsidRPr="00A47383" w:rsidRDefault="00A135D4" w:rsidP="00A135D4">
            <w:pPr>
              <w:pStyle w:val="af5"/>
              <w:tabs>
                <w:tab w:val="center" w:pos="345"/>
                <w:tab w:val="right" w:pos="8306"/>
              </w:tabs>
              <w:spacing w:after="120"/>
              <w:ind w:left="34" w:right="30"/>
              <w:jc w:val="both"/>
            </w:pPr>
            <w:r>
              <w:t>1.</w:t>
            </w:r>
            <w:r w:rsidRPr="00A47383">
              <w:t xml:space="preserve">подписать с Продавцом договор купли-продажи в течение 20 (двадцати) банковских дней </w:t>
            </w:r>
            <w:proofErr w:type="gramStart"/>
            <w:r w:rsidRPr="00A47383">
              <w:t>с даты проведения</w:t>
            </w:r>
            <w:proofErr w:type="gramEnd"/>
            <w:r w:rsidRPr="00A47383">
              <w:t xml:space="preserve"> электронных торгов и утверждения протокола электронных торгов (после предъявления Продавцу копии платежных документов об оплате Организатору электронных торгов вознаграждения).</w:t>
            </w:r>
          </w:p>
          <w:p w14:paraId="67BBDEA6" w14:textId="77777777" w:rsidR="00A135D4" w:rsidRDefault="00A135D4" w:rsidP="00A135D4">
            <w:pPr>
              <w:ind w:left="34"/>
              <w:jc w:val="both"/>
            </w:pPr>
            <w:r>
              <w:t>2.</w:t>
            </w:r>
            <w:proofErr w:type="gramStart"/>
            <w:r w:rsidRPr="00C76721">
              <w:t>оплатить стоимость приобретенного</w:t>
            </w:r>
            <w:proofErr w:type="gramEnd"/>
            <w:r w:rsidRPr="00C76721">
              <w:t xml:space="preserve"> имущества в течение </w:t>
            </w:r>
            <w:r>
              <w:t>5</w:t>
            </w:r>
            <w:r w:rsidRPr="002337EC">
              <w:t xml:space="preserve"> (</w:t>
            </w:r>
            <w:r>
              <w:t>пяти</w:t>
            </w:r>
            <w:r w:rsidRPr="00C76721">
              <w:t xml:space="preserve">) </w:t>
            </w:r>
            <w:r>
              <w:t>банковских</w:t>
            </w:r>
            <w:r w:rsidRPr="00C76721">
              <w:t xml:space="preserve"> дней с даты заключения договора купли-продажи, за исключением оплаты стоимости приобретенного имущества в рассрочку. </w:t>
            </w:r>
          </w:p>
          <w:p w14:paraId="2D596564" w14:textId="77777777" w:rsidR="00A135D4" w:rsidRDefault="00A135D4" w:rsidP="00A135D4">
            <w:pPr>
              <w:ind w:left="34"/>
              <w:jc w:val="both"/>
            </w:pPr>
          </w:p>
          <w:p w14:paraId="5993740F" w14:textId="77777777" w:rsidR="00A135D4" w:rsidRDefault="00A135D4" w:rsidP="00A135D4">
            <w:pPr>
              <w:ind w:left="34" w:right="-30"/>
              <w:contextualSpacing/>
              <w:jc w:val="both"/>
            </w:pPr>
            <w:r>
              <w:t xml:space="preserve">3. </w:t>
            </w:r>
            <w:r w:rsidRPr="002337EC">
              <w:t xml:space="preserve">возместить Продавцу стоимость оценки, в размере </w:t>
            </w:r>
            <w:r w:rsidRPr="00E74E73">
              <w:t xml:space="preserve">4 783,20 </w:t>
            </w:r>
            <w:r w:rsidRPr="002337EC">
              <w:t>белорусских рублей с учетом НДС 20%, в течение 5 рабочих дней с момента заключения договора купли-продажи.</w:t>
            </w:r>
          </w:p>
          <w:p w14:paraId="08D84F46" w14:textId="77777777" w:rsidR="00A135D4" w:rsidRPr="002337EC" w:rsidRDefault="00A135D4" w:rsidP="00A135D4">
            <w:pPr>
              <w:ind w:left="34" w:right="-30"/>
              <w:contextualSpacing/>
              <w:jc w:val="both"/>
            </w:pPr>
          </w:p>
          <w:p w14:paraId="6D65F284" w14:textId="5C9849B7" w:rsidR="00A135D4" w:rsidRPr="00E87C57" w:rsidRDefault="00A135D4" w:rsidP="00A135D4">
            <w:pPr>
              <w:tabs>
                <w:tab w:val="center" w:pos="345"/>
                <w:tab w:val="right" w:pos="8306"/>
              </w:tabs>
              <w:spacing w:after="120"/>
              <w:ind w:left="34" w:right="30"/>
              <w:jc w:val="both"/>
            </w:pPr>
            <w:r>
              <w:t>4</w:t>
            </w:r>
            <w:r w:rsidRPr="00E87C57">
              <w:t xml:space="preserve">. оплатить Организатору электронных торгов вознаграждение в размере </w:t>
            </w:r>
            <w:r>
              <w:t>2,5</w:t>
            </w:r>
            <w:r w:rsidRPr="00E87C57">
              <w:t>% от цены продажи предмета электронных торгов в течение 3 (трех) рабочих дней со дня утверждения протокола о результатах электронных торгов. Вознаграждение Организатору электронных торгов включает затраты на организацию и проведение электронных торгов</w:t>
            </w:r>
          </w:p>
          <w:p w14:paraId="74777774" w14:textId="0FB98ABE" w:rsidR="00F53813" w:rsidRPr="00A135D4" w:rsidRDefault="00A135D4" w:rsidP="00A135D4">
            <w:pPr>
              <w:ind w:right="-30"/>
              <w:contextualSpacing/>
              <w:jc w:val="both"/>
            </w:pPr>
            <w:r>
              <w:t>5</w:t>
            </w:r>
            <w:r w:rsidRPr="00E87C57">
              <w:t>. на Претендента на покупку распространяются правила и условия, установленные законодательством Республики Беларусь для Победителя электронных</w:t>
            </w:r>
            <w:r w:rsidRPr="00940FB2">
              <w:t xml:space="preserve"> торгов.</w:t>
            </w:r>
          </w:p>
        </w:tc>
      </w:tr>
      <w:tr w:rsidR="00F53813" w:rsidRPr="00B637F6" w14:paraId="4602EECA" w14:textId="77777777" w:rsidTr="002B21FC">
        <w:trPr>
          <w:trHeight w:val="699"/>
        </w:trPr>
        <w:tc>
          <w:tcPr>
            <w:tcW w:w="10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489EF977" w:rsidR="00F53813" w:rsidRPr="00B637F6" w:rsidRDefault="00AC1347" w:rsidP="00E3205B">
            <w:pPr>
              <w:spacing w:before="100" w:beforeAutospacing="1" w:after="100" w:afterAutospacing="1"/>
              <w:jc w:val="both"/>
              <w:rPr>
                <w:color w:val="000000"/>
              </w:rPr>
            </w:pPr>
            <w:r w:rsidRPr="00AC1347">
              <w:rPr>
                <w:color w:val="000000"/>
              </w:rPr>
              <w:t>Порядок проведения аукциона определен Регламентом ЭТП «GOSTORG»</w:t>
            </w:r>
          </w:p>
        </w:tc>
      </w:tr>
      <w:tr w:rsidR="00F53813" w:rsidRPr="00B637F6" w14:paraId="137F2757" w14:textId="77777777" w:rsidTr="002B21FC">
        <w:trPr>
          <w:trHeight w:val="2126"/>
        </w:trPr>
        <w:tc>
          <w:tcPr>
            <w:tcW w:w="10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5F733" w14:textId="77579170" w:rsidR="00AC1347" w:rsidRDefault="00F53813" w:rsidP="005D44C9">
            <w:pPr>
              <w:spacing w:before="100" w:beforeAutospacing="1" w:after="100" w:afterAutospacing="1"/>
              <w:jc w:val="both"/>
              <w:rPr>
                <w:color w:val="000000"/>
              </w:rPr>
            </w:pPr>
            <w:r w:rsidRPr="00B637F6">
              <w:rPr>
                <w:color w:val="000000"/>
              </w:rPr>
              <w:lastRenderedPageBreak/>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w:t>
            </w:r>
            <w:r w:rsidRPr="005A45CC">
              <w:rPr>
                <w:color w:val="000000"/>
              </w:rPr>
              <w:t xml:space="preserve">процессе подготовки и проведения электронных </w:t>
            </w:r>
            <w:r w:rsidRPr="005A45CC">
              <w:t xml:space="preserve">торгов составляет </w:t>
            </w:r>
            <w:r w:rsidR="00755111" w:rsidRPr="005A45CC">
              <w:t xml:space="preserve">по Лоту 1: </w:t>
            </w:r>
            <w:r w:rsidR="00AC1347" w:rsidRPr="005A45CC">
              <w:t>20 % от начальной цены продажи</w:t>
            </w:r>
            <w:r w:rsidR="00AC1347">
              <w:rPr>
                <w:color w:val="000000"/>
              </w:rPr>
              <w:t>.</w:t>
            </w:r>
          </w:p>
          <w:p w14:paraId="47EA1336" w14:textId="6FB3ECF2" w:rsidR="00F53813" w:rsidRPr="00B637F6" w:rsidRDefault="00F53813" w:rsidP="005D44C9">
            <w:pPr>
              <w:spacing w:before="100" w:beforeAutospacing="1" w:after="100" w:afterAutospacing="1"/>
              <w:jc w:val="both"/>
              <w:rPr>
                <w:color w:val="000000"/>
              </w:rPr>
            </w:pPr>
            <w:r w:rsidRPr="00B637F6">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5D44C9">
            <w:pPr>
              <w:jc w:val="both"/>
              <w:rPr>
                <w:color w:val="000000"/>
              </w:rPr>
            </w:pPr>
            <w:r w:rsidRPr="00B637F6">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165D"/>
    <w:rsid w:val="00085780"/>
    <w:rsid w:val="000923F6"/>
    <w:rsid w:val="00093A9C"/>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15A9"/>
    <w:rsid w:val="00124307"/>
    <w:rsid w:val="00124416"/>
    <w:rsid w:val="0012568F"/>
    <w:rsid w:val="00127221"/>
    <w:rsid w:val="0013296F"/>
    <w:rsid w:val="0013402E"/>
    <w:rsid w:val="00137572"/>
    <w:rsid w:val="00140C2A"/>
    <w:rsid w:val="00141AA4"/>
    <w:rsid w:val="00142636"/>
    <w:rsid w:val="00143536"/>
    <w:rsid w:val="0014752A"/>
    <w:rsid w:val="00150757"/>
    <w:rsid w:val="00155A37"/>
    <w:rsid w:val="00156231"/>
    <w:rsid w:val="00157F67"/>
    <w:rsid w:val="00161ACB"/>
    <w:rsid w:val="00163B0A"/>
    <w:rsid w:val="00167F2C"/>
    <w:rsid w:val="001700EE"/>
    <w:rsid w:val="00181800"/>
    <w:rsid w:val="00182F71"/>
    <w:rsid w:val="00192F95"/>
    <w:rsid w:val="00195DD3"/>
    <w:rsid w:val="0019766D"/>
    <w:rsid w:val="00197996"/>
    <w:rsid w:val="001A1489"/>
    <w:rsid w:val="001A1BF2"/>
    <w:rsid w:val="001A1EE7"/>
    <w:rsid w:val="001A40EE"/>
    <w:rsid w:val="001A5770"/>
    <w:rsid w:val="001B1274"/>
    <w:rsid w:val="001B4757"/>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5876"/>
    <w:rsid w:val="002A337C"/>
    <w:rsid w:val="002A3974"/>
    <w:rsid w:val="002A4702"/>
    <w:rsid w:val="002A7363"/>
    <w:rsid w:val="002B1E1B"/>
    <w:rsid w:val="002B21FC"/>
    <w:rsid w:val="002B332C"/>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060D"/>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2C7D"/>
    <w:rsid w:val="003E3797"/>
    <w:rsid w:val="003F083D"/>
    <w:rsid w:val="0040065F"/>
    <w:rsid w:val="0040282B"/>
    <w:rsid w:val="004035AA"/>
    <w:rsid w:val="00405B92"/>
    <w:rsid w:val="00407AB3"/>
    <w:rsid w:val="004102FF"/>
    <w:rsid w:val="004113CB"/>
    <w:rsid w:val="00416230"/>
    <w:rsid w:val="00421274"/>
    <w:rsid w:val="00423591"/>
    <w:rsid w:val="00424CF1"/>
    <w:rsid w:val="00425936"/>
    <w:rsid w:val="00440379"/>
    <w:rsid w:val="00440A84"/>
    <w:rsid w:val="00456F51"/>
    <w:rsid w:val="00457A8D"/>
    <w:rsid w:val="00461751"/>
    <w:rsid w:val="00462BCF"/>
    <w:rsid w:val="00462D09"/>
    <w:rsid w:val="00462E72"/>
    <w:rsid w:val="004664AA"/>
    <w:rsid w:val="00467010"/>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E1B"/>
    <w:rsid w:val="00540C63"/>
    <w:rsid w:val="00542EEB"/>
    <w:rsid w:val="00543851"/>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77219"/>
    <w:rsid w:val="00580A85"/>
    <w:rsid w:val="00585A9D"/>
    <w:rsid w:val="00586057"/>
    <w:rsid w:val="0059042B"/>
    <w:rsid w:val="00593C86"/>
    <w:rsid w:val="005A05E4"/>
    <w:rsid w:val="005A07C2"/>
    <w:rsid w:val="005A084B"/>
    <w:rsid w:val="005A1EA9"/>
    <w:rsid w:val="005A21D3"/>
    <w:rsid w:val="005A45CC"/>
    <w:rsid w:val="005A7BDA"/>
    <w:rsid w:val="005B6D9F"/>
    <w:rsid w:val="005C6B41"/>
    <w:rsid w:val="005D0A75"/>
    <w:rsid w:val="005D196A"/>
    <w:rsid w:val="005D1A2C"/>
    <w:rsid w:val="005D44C9"/>
    <w:rsid w:val="005D763F"/>
    <w:rsid w:val="005D7C28"/>
    <w:rsid w:val="005E0D97"/>
    <w:rsid w:val="005E5FA7"/>
    <w:rsid w:val="005F0A12"/>
    <w:rsid w:val="005F2410"/>
    <w:rsid w:val="005F44CE"/>
    <w:rsid w:val="005F5D1A"/>
    <w:rsid w:val="005F6EF5"/>
    <w:rsid w:val="005F7FEE"/>
    <w:rsid w:val="0061141F"/>
    <w:rsid w:val="00612F18"/>
    <w:rsid w:val="006155C5"/>
    <w:rsid w:val="00616333"/>
    <w:rsid w:val="00631713"/>
    <w:rsid w:val="00633C0A"/>
    <w:rsid w:val="00636F9C"/>
    <w:rsid w:val="0064061D"/>
    <w:rsid w:val="00641033"/>
    <w:rsid w:val="00642D80"/>
    <w:rsid w:val="006468B4"/>
    <w:rsid w:val="006523CB"/>
    <w:rsid w:val="00654702"/>
    <w:rsid w:val="006553BE"/>
    <w:rsid w:val="00655F27"/>
    <w:rsid w:val="00662916"/>
    <w:rsid w:val="00663A31"/>
    <w:rsid w:val="00664115"/>
    <w:rsid w:val="00664E09"/>
    <w:rsid w:val="00665D6A"/>
    <w:rsid w:val="00666492"/>
    <w:rsid w:val="00670457"/>
    <w:rsid w:val="00671E0B"/>
    <w:rsid w:val="0067281E"/>
    <w:rsid w:val="00674BF7"/>
    <w:rsid w:val="0068210A"/>
    <w:rsid w:val="00683185"/>
    <w:rsid w:val="00694DE1"/>
    <w:rsid w:val="00695A97"/>
    <w:rsid w:val="006A3456"/>
    <w:rsid w:val="006A4920"/>
    <w:rsid w:val="006A5A7F"/>
    <w:rsid w:val="006A7864"/>
    <w:rsid w:val="006B2923"/>
    <w:rsid w:val="006B45AE"/>
    <w:rsid w:val="006B7E69"/>
    <w:rsid w:val="006C5CFC"/>
    <w:rsid w:val="006C7708"/>
    <w:rsid w:val="006D040D"/>
    <w:rsid w:val="006D38A7"/>
    <w:rsid w:val="006D5CA6"/>
    <w:rsid w:val="006E67F9"/>
    <w:rsid w:val="006F1BAA"/>
    <w:rsid w:val="006F521D"/>
    <w:rsid w:val="006F6D1A"/>
    <w:rsid w:val="006F7E8C"/>
    <w:rsid w:val="007011E5"/>
    <w:rsid w:val="007071C1"/>
    <w:rsid w:val="007101E1"/>
    <w:rsid w:val="00711B7B"/>
    <w:rsid w:val="0072709E"/>
    <w:rsid w:val="007274AF"/>
    <w:rsid w:val="0073274C"/>
    <w:rsid w:val="007352F2"/>
    <w:rsid w:val="00740A2A"/>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713"/>
    <w:rsid w:val="0079472C"/>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76CE"/>
    <w:rsid w:val="007F4CB5"/>
    <w:rsid w:val="007F554B"/>
    <w:rsid w:val="0080191F"/>
    <w:rsid w:val="008020C2"/>
    <w:rsid w:val="00802773"/>
    <w:rsid w:val="0081030F"/>
    <w:rsid w:val="00810729"/>
    <w:rsid w:val="00810DA6"/>
    <w:rsid w:val="00820BAD"/>
    <w:rsid w:val="00823851"/>
    <w:rsid w:val="00823CB0"/>
    <w:rsid w:val="00826B67"/>
    <w:rsid w:val="008320D9"/>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9090C"/>
    <w:rsid w:val="008A0754"/>
    <w:rsid w:val="008A0CBA"/>
    <w:rsid w:val="008A3AD9"/>
    <w:rsid w:val="008A697B"/>
    <w:rsid w:val="008B1870"/>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5797"/>
    <w:rsid w:val="0092619D"/>
    <w:rsid w:val="0093219B"/>
    <w:rsid w:val="009325E6"/>
    <w:rsid w:val="0093282F"/>
    <w:rsid w:val="009337EB"/>
    <w:rsid w:val="00937A3F"/>
    <w:rsid w:val="0094041B"/>
    <w:rsid w:val="0094375B"/>
    <w:rsid w:val="0094434B"/>
    <w:rsid w:val="00946773"/>
    <w:rsid w:val="00947A37"/>
    <w:rsid w:val="009576CD"/>
    <w:rsid w:val="00961364"/>
    <w:rsid w:val="00961E27"/>
    <w:rsid w:val="0096283C"/>
    <w:rsid w:val="00963834"/>
    <w:rsid w:val="009675AB"/>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BA5"/>
    <w:rsid w:val="00A06BDA"/>
    <w:rsid w:val="00A125D8"/>
    <w:rsid w:val="00A135D4"/>
    <w:rsid w:val="00A21DEE"/>
    <w:rsid w:val="00A226E3"/>
    <w:rsid w:val="00A22887"/>
    <w:rsid w:val="00A301C7"/>
    <w:rsid w:val="00A32174"/>
    <w:rsid w:val="00A325EC"/>
    <w:rsid w:val="00A35F08"/>
    <w:rsid w:val="00A360F8"/>
    <w:rsid w:val="00A37335"/>
    <w:rsid w:val="00A46685"/>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1347"/>
    <w:rsid w:val="00AC412F"/>
    <w:rsid w:val="00AC56A6"/>
    <w:rsid w:val="00AC671F"/>
    <w:rsid w:val="00AE168D"/>
    <w:rsid w:val="00AF2EEB"/>
    <w:rsid w:val="00AF5ECA"/>
    <w:rsid w:val="00AF5FF3"/>
    <w:rsid w:val="00AF6D22"/>
    <w:rsid w:val="00B017BD"/>
    <w:rsid w:val="00B03339"/>
    <w:rsid w:val="00B039FE"/>
    <w:rsid w:val="00B0524E"/>
    <w:rsid w:val="00B07005"/>
    <w:rsid w:val="00B179F5"/>
    <w:rsid w:val="00B213F2"/>
    <w:rsid w:val="00B21A07"/>
    <w:rsid w:val="00B231EB"/>
    <w:rsid w:val="00B237FC"/>
    <w:rsid w:val="00B25C26"/>
    <w:rsid w:val="00B2685C"/>
    <w:rsid w:val="00B2767E"/>
    <w:rsid w:val="00B3208A"/>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37A52"/>
    <w:rsid w:val="00C41714"/>
    <w:rsid w:val="00C519CC"/>
    <w:rsid w:val="00C5259E"/>
    <w:rsid w:val="00C525AF"/>
    <w:rsid w:val="00C527F2"/>
    <w:rsid w:val="00C62AF6"/>
    <w:rsid w:val="00C67D38"/>
    <w:rsid w:val="00C716C6"/>
    <w:rsid w:val="00C75BA6"/>
    <w:rsid w:val="00C765F6"/>
    <w:rsid w:val="00C904E3"/>
    <w:rsid w:val="00C97B07"/>
    <w:rsid w:val="00CA0877"/>
    <w:rsid w:val="00CA5C28"/>
    <w:rsid w:val="00CA6FFE"/>
    <w:rsid w:val="00CB5BE7"/>
    <w:rsid w:val="00CB6559"/>
    <w:rsid w:val="00CC1CC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51EF"/>
    <w:rsid w:val="00D1638A"/>
    <w:rsid w:val="00D16B27"/>
    <w:rsid w:val="00D16F24"/>
    <w:rsid w:val="00D174FF"/>
    <w:rsid w:val="00D22456"/>
    <w:rsid w:val="00D244B4"/>
    <w:rsid w:val="00D2451C"/>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5785"/>
    <w:rsid w:val="00DF63A4"/>
    <w:rsid w:val="00E10464"/>
    <w:rsid w:val="00E10B6E"/>
    <w:rsid w:val="00E1152A"/>
    <w:rsid w:val="00E158CA"/>
    <w:rsid w:val="00E1746F"/>
    <w:rsid w:val="00E30B57"/>
    <w:rsid w:val="00E3205B"/>
    <w:rsid w:val="00E34A5A"/>
    <w:rsid w:val="00E34DFC"/>
    <w:rsid w:val="00E40408"/>
    <w:rsid w:val="00E4274D"/>
    <w:rsid w:val="00E46CC5"/>
    <w:rsid w:val="00E50791"/>
    <w:rsid w:val="00E508C7"/>
    <w:rsid w:val="00E5412A"/>
    <w:rsid w:val="00E56DA2"/>
    <w:rsid w:val="00E60062"/>
    <w:rsid w:val="00E603AA"/>
    <w:rsid w:val="00E6491C"/>
    <w:rsid w:val="00E64AD6"/>
    <w:rsid w:val="00E65020"/>
    <w:rsid w:val="00E664B6"/>
    <w:rsid w:val="00E7059E"/>
    <w:rsid w:val="00E74BC0"/>
    <w:rsid w:val="00E75C9B"/>
    <w:rsid w:val="00E802A4"/>
    <w:rsid w:val="00E818D5"/>
    <w:rsid w:val="00E81A56"/>
    <w:rsid w:val="00E83667"/>
    <w:rsid w:val="00E83EC1"/>
    <w:rsid w:val="00E92C71"/>
    <w:rsid w:val="00E93CC5"/>
    <w:rsid w:val="00E94448"/>
    <w:rsid w:val="00E969D5"/>
    <w:rsid w:val="00EA1665"/>
    <w:rsid w:val="00EA2035"/>
    <w:rsid w:val="00EB1CDF"/>
    <w:rsid w:val="00EB387A"/>
    <w:rsid w:val="00EB443E"/>
    <w:rsid w:val="00EB4646"/>
    <w:rsid w:val="00EB4AAE"/>
    <w:rsid w:val="00EB5D69"/>
    <w:rsid w:val="00EB7822"/>
    <w:rsid w:val="00EC0D71"/>
    <w:rsid w:val="00EC30EE"/>
    <w:rsid w:val="00EC5081"/>
    <w:rsid w:val="00EC650C"/>
    <w:rsid w:val="00ED0048"/>
    <w:rsid w:val="00ED593C"/>
    <w:rsid w:val="00ED74A3"/>
    <w:rsid w:val="00ED75E4"/>
    <w:rsid w:val="00ED7690"/>
    <w:rsid w:val="00EE082F"/>
    <w:rsid w:val="00EE2C65"/>
    <w:rsid w:val="00EE3B47"/>
    <w:rsid w:val="00EE59D5"/>
    <w:rsid w:val="00EE6051"/>
    <w:rsid w:val="00EE6C89"/>
    <w:rsid w:val="00EF2F81"/>
    <w:rsid w:val="00F042F9"/>
    <w:rsid w:val="00F049CF"/>
    <w:rsid w:val="00F06D95"/>
    <w:rsid w:val="00F11514"/>
    <w:rsid w:val="00F20655"/>
    <w:rsid w:val="00F215E8"/>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table" w:customStyle="1" w:styleId="12">
    <w:name w:val="Сетка таблицы1"/>
    <w:basedOn w:val="a1"/>
    <w:uiPriority w:val="59"/>
    <w:rsid w:val="00AC1347"/>
    <w:rPr>
      <w:rFonts w:asciiTheme="minorHAnsi" w:eastAsia="Calibr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B21A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table" w:customStyle="1" w:styleId="12">
    <w:name w:val="Сетка таблицы1"/>
    <w:basedOn w:val="a1"/>
    <w:uiPriority w:val="59"/>
    <w:rsid w:val="00AC1347"/>
    <w:rPr>
      <w:rFonts w:asciiTheme="minorHAnsi" w:eastAsia="Calibr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B21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5</Pages>
  <Words>1561</Words>
  <Characters>11197</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12733</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User</cp:lastModifiedBy>
  <cp:revision>69</cp:revision>
  <cp:lastPrinted>2026-02-20T11:34:00Z</cp:lastPrinted>
  <dcterms:created xsi:type="dcterms:W3CDTF">2024-10-25T07:31:00Z</dcterms:created>
  <dcterms:modified xsi:type="dcterms:W3CDTF">2026-06-02T07:54:00Z</dcterms:modified>
</cp:coreProperties>
</file>