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1"/>
        <w:gridCol w:w="7676"/>
      </w:tblGrid>
      <w:tr w:rsidR="006F521D" w:rsidRPr="00DF63A4" w14:paraId="5B877130" w14:textId="77777777" w:rsidTr="00A76AAE">
        <w:trPr>
          <w:trHeight w:val="1006"/>
        </w:trPr>
        <w:tc>
          <w:tcPr>
            <w:tcW w:w="10937" w:type="dxa"/>
            <w:gridSpan w:val="2"/>
            <w:tcBorders>
              <w:top w:val="single" w:sz="4" w:space="0" w:color="auto"/>
              <w:left w:val="single" w:sz="4" w:space="0" w:color="auto"/>
              <w:right w:val="single" w:sz="4" w:space="0" w:color="auto"/>
            </w:tcBorders>
            <w:shd w:val="clear" w:color="auto" w:fill="auto"/>
            <w:vAlign w:val="center"/>
          </w:tcPr>
          <w:p w14:paraId="1B3AF52E" w14:textId="77777777" w:rsidR="006F521D" w:rsidRPr="0014752A" w:rsidRDefault="006F521D" w:rsidP="00303173">
            <w:pPr>
              <w:jc w:val="center"/>
              <w:rPr>
                <w:sz w:val="28"/>
                <w:szCs w:val="28"/>
              </w:rPr>
            </w:pPr>
            <w:r w:rsidRPr="0014752A">
              <w:rPr>
                <w:sz w:val="28"/>
                <w:szCs w:val="28"/>
              </w:rPr>
              <w:t xml:space="preserve">ВИТЕБСКИЙ ФИЛИАЛ </w:t>
            </w:r>
          </w:p>
          <w:p w14:paraId="0E43A8B9" w14:textId="77777777" w:rsidR="006F521D" w:rsidRPr="0014752A" w:rsidRDefault="006F521D" w:rsidP="00303173">
            <w:pPr>
              <w:jc w:val="center"/>
              <w:rPr>
                <w:sz w:val="28"/>
                <w:szCs w:val="28"/>
              </w:rPr>
            </w:pPr>
            <w:r w:rsidRPr="0014752A">
              <w:rPr>
                <w:sz w:val="28"/>
                <w:szCs w:val="28"/>
              </w:rPr>
              <w:t xml:space="preserve">РУП «Институт недвижимости и оценки» </w:t>
            </w:r>
          </w:p>
          <w:p w14:paraId="34C97D4E" w14:textId="4EAB3A70" w:rsidR="000D58B6" w:rsidRDefault="006F521D" w:rsidP="000D58B6">
            <w:pPr>
              <w:jc w:val="center"/>
              <w:rPr>
                <w:sz w:val="28"/>
                <w:szCs w:val="28"/>
              </w:rPr>
            </w:pPr>
            <w:r w:rsidRPr="0014752A">
              <w:rPr>
                <w:sz w:val="28"/>
                <w:szCs w:val="28"/>
              </w:rPr>
              <w:t xml:space="preserve">информирует о проведении </w:t>
            </w:r>
            <w:r w:rsidR="00275F3F">
              <w:rPr>
                <w:sz w:val="28"/>
                <w:szCs w:val="28"/>
              </w:rPr>
              <w:t xml:space="preserve">повторного </w:t>
            </w:r>
            <w:r w:rsidRPr="0014752A">
              <w:rPr>
                <w:sz w:val="28"/>
                <w:szCs w:val="28"/>
              </w:rPr>
              <w:t xml:space="preserve">открытого аукциона по продаже имущества </w:t>
            </w:r>
          </w:p>
          <w:p w14:paraId="57D3CBCB" w14:textId="06FD0C32" w:rsidR="006F521D" w:rsidRPr="0014752A" w:rsidRDefault="000D58B6" w:rsidP="000D58B6">
            <w:pPr>
              <w:jc w:val="center"/>
              <w:rPr>
                <w:sz w:val="28"/>
                <w:szCs w:val="28"/>
              </w:rPr>
            </w:pPr>
            <w:proofErr w:type="spellStart"/>
            <w:r>
              <w:rPr>
                <w:sz w:val="28"/>
                <w:szCs w:val="28"/>
              </w:rPr>
              <w:t>Новополоцкого</w:t>
            </w:r>
            <w:proofErr w:type="spellEnd"/>
            <w:r>
              <w:rPr>
                <w:sz w:val="28"/>
                <w:szCs w:val="28"/>
              </w:rPr>
              <w:t xml:space="preserve"> городского исполнительного комитета</w:t>
            </w:r>
          </w:p>
          <w:p w14:paraId="594FAAFD" w14:textId="59839C3B" w:rsidR="006F521D" w:rsidRPr="0014752A" w:rsidRDefault="006F521D" w:rsidP="00303173">
            <w:pPr>
              <w:jc w:val="center"/>
              <w:rPr>
                <w:bCs/>
                <w:sz w:val="28"/>
                <w:szCs w:val="28"/>
              </w:rPr>
            </w:pPr>
            <w:r w:rsidRPr="0014752A">
              <w:rPr>
                <w:sz w:val="28"/>
                <w:szCs w:val="28"/>
              </w:rPr>
              <w:t xml:space="preserve">                                                                                                                                                           </w:t>
            </w:r>
          </w:p>
          <w:p w14:paraId="605F8AD8" w14:textId="4F16B202" w:rsidR="006F521D" w:rsidRPr="0014752A" w:rsidRDefault="006F521D" w:rsidP="00303173">
            <w:pPr>
              <w:jc w:val="center"/>
              <w:rPr>
                <w:sz w:val="28"/>
                <w:szCs w:val="28"/>
              </w:rPr>
            </w:pPr>
            <w:r w:rsidRPr="0014752A">
              <w:rPr>
                <w:bCs/>
                <w:sz w:val="28"/>
                <w:szCs w:val="28"/>
              </w:rPr>
              <w:t xml:space="preserve"> Аукцион состоится </w:t>
            </w:r>
            <w:r w:rsidR="00353256">
              <w:rPr>
                <w:b/>
                <w:bCs/>
                <w:sz w:val="28"/>
                <w:szCs w:val="28"/>
                <w:u w:val="single"/>
              </w:rPr>
              <w:t>1</w:t>
            </w:r>
            <w:r w:rsidR="00275F3F">
              <w:rPr>
                <w:b/>
                <w:bCs/>
                <w:sz w:val="28"/>
                <w:szCs w:val="28"/>
                <w:u w:val="single"/>
              </w:rPr>
              <w:t>7</w:t>
            </w:r>
            <w:r w:rsidR="004E16E7">
              <w:rPr>
                <w:b/>
                <w:bCs/>
                <w:sz w:val="28"/>
                <w:szCs w:val="28"/>
                <w:u w:val="single"/>
              </w:rPr>
              <w:t xml:space="preserve"> октября</w:t>
            </w:r>
            <w:r w:rsidR="00810DA6">
              <w:rPr>
                <w:b/>
                <w:bCs/>
                <w:sz w:val="28"/>
                <w:szCs w:val="28"/>
                <w:u w:val="single"/>
              </w:rPr>
              <w:t xml:space="preserve"> </w:t>
            </w:r>
            <w:r w:rsidRPr="0014752A">
              <w:rPr>
                <w:b/>
                <w:bCs/>
                <w:sz w:val="28"/>
                <w:szCs w:val="28"/>
                <w:u w:val="single"/>
              </w:rPr>
              <w:t>202</w:t>
            </w:r>
            <w:r w:rsidR="00810DA6">
              <w:rPr>
                <w:b/>
                <w:bCs/>
                <w:sz w:val="28"/>
                <w:szCs w:val="28"/>
                <w:u w:val="single"/>
              </w:rPr>
              <w:t>4</w:t>
            </w:r>
            <w:r w:rsidRPr="0014752A">
              <w:rPr>
                <w:b/>
                <w:bCs/>
                <w:sz w:val="28"/>
                <w:szCs w:val="28"/>
                <w:u w:val="single"/>
              </w:rPr>
              <w:t xml:space="preserve"> в 15.00</w:t>
            </w:r>
            <w:r w:rsidRPr="0014752A">
              <w:rPr>
                <w:bCs/>
                <w:sz w:val="28"/>
                <w:szCs w:val="28"/>
              </w:rPr>
              <w:t xml:space="preserve"> по адресу:</w:t>
            </w:r>
            <w:r w:rsidR="00B0682E">
              <w:rPr>
                <w:bCs/>
                <w:sz w:val="28"/>
                <w:szCs w:val="28"/>
              </w:rPr>
              <w:t xml:space="preserve"> г. Витебск, ул. Свидинского, 4</w:t>
            </w:r>
          </w:p>
          <w:p w14:paraId="4C5E5FA1" w14:textId="1D0F79E9" w:rsidR="006F521D" w:rsidRPr="00DF63A4" w:rsidRDefault="006F521D" w:rsidP="00303173">
            <w:r w:rsidRPr="00DF63A4">
              <w:t xml:space="preserve">                                                                                    </w:t>
            </w:r>
            <w:r w:rsidRPr="00DF63A4">
              <w:rPr>
                <w:bCs/>
              </w:rPr>
              <w:t xml:space="preserve">                                                      </w:t>
            </w:r>
          </w:p>
        </w:tc>
      </w:tr>
      <w:tr w:rsidR="006F521D" w:rsidRPr="00795FE1" w14:paraId="17D9F58B" w14:textId="77777777" w:rsidTr="008479B4">
        <w:trPr>
          <w:trHeight w:val="5001"/>
        </w:trPr>
        <w:tc>
          <w:tcPr>
            <w:tcW w:w="1093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60E2623" w14:textId="0AEF1AFB" w:rsidR="006F521D" w:rsidRPr="00795FE1" w:rsidRDefault="008479B4" w:rsidP="006F521D">
            <w:pPr>
              <w:jc w:val="center"/>
              <w:rPr>
                <w:b/>
                <w:u w:val="single"/>
              </w:rPr>
            </w:pPr>
            <w:r w:rsidRPr="008479B4">
              <w:rPr>
                <w:b/>
                <w:noProof/>
                <w:u w:val="single"/>
                <w:lang w:val="en-US" w:eastAsia="en-US"/>
              </w:rPr>
              <w:drawing>
                <wp:inline distT="0" distB="0" distL="0" distR="0" wp14:anchorId="3C128350" wp14:editId="1333E062">
                  <wp:extent cx="6334125" cy="8445500"/>
                  <wp:effectExtent l="0" t="0" r="9525" b="0"/>
                  <wp:docPr id="1" name="Рисунок 1" descr="D:\ЮРИСТ\!АУКЦИОНЫ\!АУКЦИОНЫ ПО НЕДВИЖИМОСТИ И ОБОРУДОВАНИЮ\Договора поручения 2024 год\Новополоцкий ГИК ГОС Бюджет\Фото\IMG-829b5a33c63d11dd2ce81ef59becac9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ЮРИСТ\!АУКЦИОНЫ\!АУКЦИОНЫ ПО НЕДВИЖИМОСТИ И ОБОРУДОВАНИЮ\Договора поручения 2024 год\Новополоцкий ГИК ГОС Бюджет\Фото\IMG-829b5a33c63d11dd2ce81ef59becac91-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8445500"/>
                          </a:xfrm>
                          <a:prstGeom prst="rect">
                            <a:avLst/>
                          </a:prstGeom>
                          <a:noFill/>
                          <a:ln>
                            <a:noFill/>
                          </a:ln>
                        </pic:spPr>
                      </pic:pic>
                    </a:graphicData>
                  </a:graphic>
                </wp:inline>
              </w:drawing>
            </w:r>
          </w:p>
        </w:tc>
      </w:tr>
      <w:tr w:rsidR="00810DA6" w:rsidRPr="00795FE1" w14:paraId="3A7CBED1" w14:textId="77777777" w:rsidTr="00353256">
        <w:trPr>
          <w:trHeight w:val="841"/>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tcPr>
          <w:p w14:paraId="7A59F4BE" w14:textId="050148F2" w:rsidR="000D58B6" w:rsidRPr="00186176" w:rsidRDefault="000D58B6" w:rsidP="000D58B6">
            <w:pPr>
              <w:pStyle w:val="newncpi"/>
            </w:pPr>
            <w:r>
              <w:lastRenderedPageBreak/>
              <w:t xml:space="preserve">Лот 1: автомобиль </w:t>
            </w:r>
            <w:r>
              <w:rPr>
                <w:lang w:val="en-US"/>
              </w:rPr>
              <w:t>OPEL</w:t>
            </w:r>
            <w:r w:rsidRPr="00374352">
              <w:t xml:space="preserve"> </w:t>
            </w:r>
            <w:r>
              <w:rPr>
                <w:lang w:val="en-US"/>
              </w:rPr>
              <w:t>INSIGNIA</w:t>
            </w:r>
            <w:r>
              <w:t>, рег. знак 0110 ЕЕ-2, 2013 года выпуска, кузов (</w:t>
            </w:r>
            <w:proofErr w:type="gramStart"/>
            <w:r w:rsidR="00353256">
              <w:t xml:space="preserve">рама)  </w:t>
            </w:r>
            <w:r>
              <w:t xml:space="preserve"> </w:t>
            </w:r>
            <w:proofErr w:type="gramEnd"/>
            <w:r>
              <w:t xml:space="preserve">                        № </w:t>
            </w:r>
            <w:r>
              <w:rPr>
                <w:lang w:val="en-US"/>
              </w:rPr>
              <w:t>WOLGT</w:t>
            </w:r>
            <w:r>
              <w:t>5</w:t>
            </w:r>
            <w:r>
              <w:rPr>
                <w:lang w:val="en-US"/>
              </w:rPr>
              <w:t>EC</w:t>
            </w:r>
            <w:r>
              <w:t xml:space="preserve">9D1110288, цвет – черный, инв. № по бух. учету </w:t>
            </w:r>
            <w:r w:rsidR="00186176">
              <w:t>–</w:t>
            </w:r>
            <w:r>
              <w:t xml:space="preserve"> 015100</w:t>
            </w:r>
            <w:r w:rsidR="00353256">
              <w:t>24.</w:t>
            </w:r>
            <w:r w:rsidR="00267278">
              <w:t>Транспортное средство находи</w:t>
            </w:r>
            <w:r>
              <w:t xml:space="preserve">тся по адресу: </w:t>
            </w:r>
            <w:r w:rsidR="00267278">
              <w:t xml:space="preserve">Витебская область, </w:t>
            </w:r>
            <w:r>
              <w:t>г.</w:t>
            </w:r>
            <w:r w:rsidR="00186176">
              <w:t xml:space="preserve"> Новополоцк, ул. Молодежная ,74</w:t>
            </w:r>
          </w:p>
          <w:p w14:paraId="6019025E" w14:textId="40363347" w:rsidR="00810DA6" w:rsidRPr="00BD2AC1" w:rsidRDefault="00810DA6" w:rsidP="00BD2AC1">
            <w:pPr>
              <w:ind w:firstLine="567"/>
              <w:jc w:val="both"/>
            </w:pPr>
          </w:p>
        </w:tc>
      </w:tr>
      <w:tr w:rsidR="006F521D" w:rsidRPr="00795FE1" w14:paraId="59834C9B" w14:textId="77777777" w:rsidTr="00A76AAE">
        <w:trPr>
          <w:trHeight w:val="55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923F0FB" w14:textId="37BDABEF" w:rsidR="006F521D" w:rsidRPr="00795FE1" w:rsidRDefault="006F521D" w:rsidP="00F7214D">
            <w:pPr>
              <w:jc w:val="center"/>
              <w:rPr>
                <w:color w:val="000000"/>
              </w:rPr>
            </w:pPr>
            <w:r w:rsidRPr="00795FE1">
              <w:rPr>
                <w:color w:val="000000"/>
              </w:rPr>
              <w:t>Начальная цена продажи</w:t>
            </w:r>
          </w:p>
          <w:p w14:paraId="2D087001" w14:textId="58DAD455" w:rsidR="00DD6591" w:rsidRPr="00795FE1" w:rsidRDefault="00DD6591" w:rsidP="00F7214D">
            <w:pPr>
              <w:jc w:val="center"/>
              <w:rPr>
                <w:color w:val="000000"/>
              </w:rPr>
            </w:pPr>
            <w:r w:rsidRPr="00795FE1">
              <w:rPr>
                <w:color w:val="000000"/>
              </w:rPr>
              <w:t xml:space="preserve"> </w:t>
            </w:r>
            <w:r w:rsidR="000D58B6">
              <w:rPr>
                <w:color w:val="000000"/>
              </w:rPr>
              <w:t>без</w:t>
            </w:r>
            <w:r w:rsidRPr="00795FE1">
              <w:rPr>
                <w:color w:val="000000"/>
              </w:rPr>
              <w:t xml:space="preserve"> НДС, руб.</w:t>
            </w:r>
          </w:p>
          <w:p w14:paraId="52811538" w14:textId="23D7E8BD" w:rsidR="00F7214D" w:rsidRPr="00795FE1" w:rsidRDefault="00F7214D" w:rsidP="00F7214D">
            <w:pPr>
              <w:jc w:val="center"/>
              <w:rPr>
                <w:color w:val="000000"/>
              </w:rPr>
            </w:pPr>
          </w:p>
        </w:tc>
        <w:tc>
          <w:tcPr>
            <w:tcW w:w="7676" w:type="dxa"/>
            <w:tcBorders>
              <w:top w:val="single" w:sz="4" w:space="0" w:color="auto"/>
              <w:left w:val="nil"/>
              <w:bottom w:val="single" w:sz="4" w:space="0" w:color="auto"/>
              <w:right w:val="single" w:sz="8" w:space="0" w:color="000000"/>
            </w:tcBorders>
            <w:shd w:val="clear" w:color="auto" w:fill="auto"/>
            <w:vAlign w:val="center"/>
          </w:tcPr>
          <w:p w14:paraId="3D17EA46" w14:textId="34B7D2F7" w:rsidR="006F521D" w:rsidRPr="00795FE1" w:rsidRDefault="004E16E7" w:rsidP="004E16E7">
            <w:pPr>
              <w:jc w:val="both"/>
              <w:rPr>
                <w:b/>
                <w:color w:val="000000"/>
              </w:rPr>
            </w:pPr>
            <w:r>
              <w:rPr>
                <w:b/>
                <w:iCs/>
                <w:color w:val="000000"/>
              </w:rPr>
              <w:t>26</w:t>
            </w:r>
            <w:r w:rsidR="00275F3F">
              <w:rPr>
                <w:b/>
                <w:iCs/>
                <w:color w:val="000000"/>
              </w:rPr>
              <w:t xml:space="preserve"> </w:t>
            </w:r>
            <w:r>
              <w:rPr>
                <w:b/>
                <w:iCs/>
                <w:color w:val="000000"/>
              </w:rPr>
              <w:t>879,47 (Двадцать шесть тысяч восемьсот семьдесят девять рублей 47 копеек)</w:t>
            </w:r>
          </w:p>
        </w:tc>
      </w:tr>
      <w:tr w:rsidR="00DF63A4" w:rsidRPr="00795FE1" w14:paraId="4EA8FBF6" w14:textId="77777777" w:rsidTr="00A76AAE">
        <w:trPr>
          <w:trHeight w:val="55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9C47A87" w14:textId="28908C89" w:rsidR="00DF63A4" w:rsidRPr="00795FE1" w:rsidRDefault="00DF63A4" w:rsidP="00DF63A4">
            <w:pPr>
              <w:jc w:val="center"/>
              <w:rPr>
                <w:color w:val="000000"/>
              </w:rPr>
            </w:pPr>
            <w:r w:rsidRPr="00795FE1">
              <w:rPr>
                <w:color w:val="000000"/>
              </w:rPr>
              <w:t>Сумма задатка, руб.</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419D67EE" w14:textId="0B251836" w:rsidR="00DF63A4" w:rsidRPr="00795FE1" w:rsidRDefault="004E16E7" w:rsidP="004E16E7">
            <w:pPr>
              <w:jc w:val="both"/>
              <w:rPr>
                <w:b/>
                <w:iCs/>
                <w:color w:val="000000"/>
              </w:rPr>
            </w:pPr>
            <w:r>
              <w:rPr>
                <w:b/>
                <w:iCs/>
                <w:color w:val="000000"/>
              </w:rPr>
              <w:t>2</w:t>
            </w:r>
            <w:r w:rsidR="00275F3F">
              <w:rPr>
                <w:b/>
                <w:iCs/>
                <w:color w:val="000000"/>
              </w:rPr>
              <w:t xml:space="preserve"> </w:t>
            </w:r>
            <w:r>
              <w:rPr>
                <w:b/>
                <w:iCs/>
                <w:color w:val="000000"/>
              </w:rPr>
              <w:t>687,95 (Две тысячи шестьсот восемьдесят семь рублей 95 копеек)</w:t>
            </w:r>
          </w:p>
        </w:tc>
      </w:tr>
      <w:tr w:rsidR="001D4C8C" w:rsidRPr="00795FE1" w14:paraId="41B23366" w14:textId="77777777" w:rsidTr="001D4C8C">
        <w:trPr>
          <w:trHeight w:val="8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C0CEF5E" w14:textId="747A03B4" w:rsidR="001D4C8C" w:rsidRPr="00795FE1" w:rsidRDefault="001D4C8C" w:rsidP="001D4C8C">
            <w:pPr>
              <w:jc w:val="center"/>
              <w:rPr>
                <w:color w:val="000000"/>
              </w:rPr>
            </w:pPr>
            <w:r w:rsidRPr="00795FE1">
              <w:rPr>
                <w:color w:val="000000"/>
              </w:rPr>
              <w:t>Шаг аукциона</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67479F2B" w14:textId="516DD6FA" w:rsidR="001D4C8C" w:rsidRPr="00795FE1" w:rsidRDefault="000D58B6" w:rsidP="000D58B6">
            <w:r>
              <w:t>5 % от</w:t>
            </w:r>
            <w:r>
              <w:rPr>
                <w:color w:val="000000"/>
                <w:shd w:val="clear" w:color="auto" w:fill="FFFFFF"/>
              </w:rPr>
              <w:t xml:space="preserve"> предыдущей названной аукционистом цены продажи предмета аукциона</w:t>
            </w:r>
          </w:p>
        </w:tc>
      </w:tr>
      <w:tr w:rsidR="001D4C8C" w:rsidRPr="00795FE1" w14:paraId="7AA65640" w14:textId="77777777" w:rsidTr="001D4C8C">
        <w:trPr>
          <w:trHeight w:val="1548"/>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319A96F" w14:textId="3FDEDE0D" w:rsidR="001D4C8C" w:rsidRPr="00795FE1" w:rsidRDefault="001D4C8C" w:rsidP="001D4C8C">
            <w:pPr>
              <w:jc w:val="center"/>
              <w:rPr>
                <w:color w:val="000000"/>
              </w:rPr>
            </w:pPr>
            <w:r w:rsidRPr="00795FE1">
              <w:rPr>
                <w:color w:val="000000"/>
              </w:rPr>
              <w:t>Реквизиты для перечисления задатка</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05C77BFD" w14:textId="0A41A5F2" w:rsidR="004E16E7" w:rsidRPr="004E16E7" w:rsidRDefault="001D4C8C" w:rsidP="004E16E7">
            <w:r w:rsidRPr="004E16E7">
              <w:t>р/с</w:t>
            </w:r>
            <w:r w:rsidR="004E16E7" w:rsidRPr="004E16E7">
              <w:t xml:space="preserve"> </w:t>
            </w:r>
            <w:r w:rsidR="004E16E7" w:rsidRPr="004E16E7">
              <w:rPr>
                <w:color w:val="00B0F0"/>
              </w:rPr>
              <w:t>BY85BAPB30127802900100000000</w:t>
            </w:r>
            <w:r w:rsidR="004E16E7" w:rsidRPr="004E16E7">
              <w:t xml:space="preserve">  </w:t>
            </w:r>
          </w:p>
          <w:p w14:paraId="3AA32DF0" w14:textId="51F02BA7" w:rsidR="004E16E7" w:rsidRPr="004E16E7" w:rsidRDefault="004E16E7" w:rsidP="004E16E7">
            <w:pPr>
              <w:rPr>
                <w:smallCaps/>
              </w:rPr>
            </w:pPr>
            <w:r w:rsidRPr="004E16E7">
              <w:t>ОАО «</w:t>
            </w:r>
            <w:proofErr w:type="spellStart"/>
            <w:r w:rsidRPr="004E16E7">
              <w:t>Белагропромбанк</w:t>
            </w:r>
            <w:proofErr w:type="spellEnd"/>
            <w:r w:rsidRPr="004E16E7">
              <w:t>», BIC BAPBBY2X, г. Минск, ул. Романовская Слобода, 8, УНП 190055182, ОКПО 37492021</w:t>
            </w:r>
          </w:p>
          <w:p w14:paraId="7A85D0C0" w14:textId="46392B7D" w:rsidR="001D4C8C" w:rsidRPr="00795FE1" w:rsidRDefault="001D4C8C" w:rsidP="00B0682E">
            <w:pPr>
              <w:jc w:val="both"/>
            </w:pPr>
            <w:r w:rsidRPr="004E16E7">
              <w:t>Получатель - Витебский филиал РУП «Институт недвижимости и оценки», УНП 300999546, назначение платежа – задаток за участие в аукционе, код платежа - 40901</w:t>
            </w:r>
          </w:p>
        </w:tc>
      </w:tr>
      <w:tr w:rsidR="001D4C8C" w:rsidRPr="00795FE1" w14:paraId="1AAA606E" w14:textId="77777777" w:rsidTr="002E3584">
        <w:trPr>
          <w:trHeight w:val="1607"/>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AF27C78" w14:textId="77777777" w:rsidR="001D4C8C" w:rsidRPr="00795FE1" w:rsidRDefault="001D4C8C" w:rsidP="001D4C8C">
            <w:pPr>
              <w:jc w:val="center"/>
              <w:rPr>
                <w:color w:val="000000"/>
              </w:rPr>
            </w:pPr>
            <w:r w:rsidRPr="00795FE1">
              <w:rPr>
                <w:color w:val="000000"/>
              </w:rPr>
              <w:t xml:space="preserve">Место, дата и время окончания приема заявлений </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44205C53" w14:textId="660AD7E2" w:rsidR="001D4C8C" w:rsidRPr="00795FE1" w:rsidRDefault="001D4C8C" w:rsidP="001D4C8C">
            <w:pPr>
              <w:ind w:right="34"/>
              <w:jc w:val="both"/>
            </w:pPr>
            <w:r w:rsidRPr="00795FE1">
              <w:t xml:space="preserve">Заявления и документы на участие в аукционе принимаются в рабочие дни с 8.30 до 17.00, в пятницу до 16.00, по </w:t>
            </w:r>
            <w:r w:rsidR="00275F3F">
              <w:t>17</w:t>
            </w:r>
            <w:r w:rsidR="004E16E7">
              <w:t>.10</w:t>
            </w:r>
            <w:r w:rsidR="00BD2AC1">
              <w:t>.2024</w:t>
            </w:r>
            <w:r w:rsidRPr="00795FE1">
              <w:t xml:space="preserve"> до 12.00 по адресу: Витебск, ул. Свидинского, 4. </w:t>
            </w:r>
          </w:p>
          <w:p w14:paraId="2103679B" w14:textId="49D6A5D7" w:rsidR="001D4C8C" w:rsidRPr="00795FE1" w:rsidRDefault="001D4C8C" w:rsidP="004E16E7">
            <w:pPr>
              <w:ind w:right="34"/>
              <w:jc w:val="both"/>
              <w:rPr>
                <w:i/>
                <w:iCs/>
              </w:rPr>
            </w:pPr>
            <w:r w:rsidRPr="00795FE1">
              <w:t xml:space="preserve">Заключительная регистрация участников </w:t>
            </w:r>
            <w:r w:rsidR="00275F3F">
              <w:t>17</w:t>
            </w:r>
            <w:r w:rsidR="004E16E7">
              <w:t>.10</w:t>
            </w:r>
            <w:r w:rsidR="00BD2AC1">
              <w:t>.2024</w:t>
            </w:r>
            <w:r w:rsidRPr="00795FE1">
              <w:t xml:space="preserve"> с 14.30 до 15.00 по месту проведения аукциона </w:t>
            </w:r>
          </w:p>
        </w:tc>
      </w:tr>
      <w:tr w:rsidR="001D4C8C" w:rsidRPr="000D58B6" w14:paraId="5AF0F435" w14:textId="77777777" w:rsidTr="00BD2AC1">
        <w:trPr>
          <w:trHeight w:val="1262"/>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5421B81" w14:textId="77777777" w:rsidR="001D4C8C" w:rsidRPr="00795FE1" w:rsidRDefault="001D4C8C" w:rsidP="001D4C8C">
            <w:pPr>
              <w:jc w:val="center"/>
              <w:rPr>
                <w:color w:val="000000"/>
              </w:rPr>
            </w:pPr>
            <w:r w:rsidRPr="00795FE1">
              <w:rPr>
                <w:color w:val="000000"/>
              </w:rPr>
              <w:t>Сведения о продавце</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426526D8" w14:textId="77777777" w:rsidR="001D4C8C" w:rsidRDefault="000D58B6" w:rsidP="000D58B6">
            <w:pPr>
              <w:pStyle w:val="newncpi"/>
              <w:shd w:val="clear" w:color="auto" w:fill="FFFFFF"/>
              <w:spacing w:line="276" w:lineRule="auto"/>
              <w:ind w:firstLine="0"/>
            </w:pPr>
            <w:proofErr w:type="spellStart"/>
            <w:r>
              <w:rPr>
                <w:color w:val="000000"/>
                <w:shd w:val="clear" w:color="auto" w:fill="FFFFFF"/>
              </w:rPr>
              <w:t>Новополоцкий</w:t>
            </w:r>
            <w:proofErr w:type="spellEnd"/>
            <w:r>
              <w:rPr>
                <w:color w:val="000000"/>
                <w:shd w:val="clear" w:color="auto" w:fill="FFFFFF"/>
              </w:rPr>
              <w:t xml:space="preserve"> городской исполнительный комитет, ул. Молодежная, 74, 211446, г. Новополоцк, Витебская область, тел. 8 0214 50 31 61</w:t>
            </w:r>
            <w:hyperlink r:id="rId6" w:history="1">
              <w:r>
                <w:rPr>
                  <w:rFonts w:ascii="Arial" w:hAnsi="Arial" w:cs="Arial"/>
                  <w:color w:val="0038C8"/>
                  <w:sz w:val="21"/>
                  <w:szCs w:val="21"/>
                  <w:u w:val="single"/>
                </w:rPr>
                <w:br/>
              </w:r>
              <w:r>
                <w:rPr>
                  <w:rStyle w:val="a3"/>
                  <w:rFonts w:ascii="Arial" w:hAnsi="Arial" w:cs="Arial"/>
                  <w:sz w:val="21"/>
                  <w:szCs w:val="21"/>
                </w:rPr>
                <w:t>buh@novopolotsk.gov.by</w:t>
              </w:r>
            </w:hyperlink>
            <w:r>
              <w:rPr>
                <w:rStyle w:val="a3"/>
                <w:rFonts w:ascii="Arial" w:hAnsi="Arial" w:cs="Arial"/>
                <w:sz w:val="21"/>
                <w:szCs w:val="21"/>
              </w:rPr>
              <w:t xml:space="preserve">, </w:t>
            </w:r>
            <w:r w:rsidR="004A5EAE" w:rsidRPr="00795FE1">
              <w:t>УНП</w:t>
            </w:r>
            <w:r>
              <w:t xml:space="preserve"> </w:t>
            </w:r>
            <w:r w:rsidRPr="00DE50B5">
              <w:t>300322270</w:t>
            </w:r>
            <w:r w:rsidR="00B0682E">
              <w:t>.</w:t>
            </w:r>
          </w:p>
          <w:p w14:paraId="35841A83" w14:textId="77777777" w:rsidR="00B0682E" w:rsidRDefault="00B0682E" w:rsidP="00B0682E">
            <w:pPr>
              <w:pStyle w:val="newncpi"/>
              <w:shd w:val="clear" w:color="auto" w:fill="FFFFFF"/>
              <w:spacing w:line="276" w:lineRule="auto"/>
              <w:ind w:firstLine="0"/>
            </w:pPr>
            <w:r>
              <w:t xml:space="preserve">ОСМОТР ОБЪЕКТА: Мартыненко Валентина Константиновна, </w:t>
            </w:r>
          </w:p>
          <w:p w14:paraId="2425D88A" w14:textId="700E0110" w:rsidR="00B0682E" w:rsidRPr="000D58B6" w:rsidRDefault="00B0682E" w:rsidP="00B0682E">
            <w:pPr>
              <w:pStyle w:val="newncpi"/>
              <w:shd w:val="clear" w:color="auto" w:fill="FFFFFF"/>
              <w:spacing w:line="276" w:lineRule="auto"/>
              <w:ind w:firstLine="0"/>
            </w:pPr>
            <w:r>
              <w:t>тел. 8 0214 50 31 37</w:t>
            </w:r>
          </w:p>
        </w:tc>
      </w:tr>
      <w:tr w:rsidR="001D4C8C" w:rsidRPr="00795FE1" w14:paraId="054A93A2" w14:textId="77777777" w:rsidTr="00A301C7">
        <w:trPr>
          <w:trHeight w:val="1564"/>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68D5796E" w14:textId="77777777" w:rsidR="001D4C8C" w:rsidRPr="00795FE1" w:rsidRDefault="001D4C8C" w:rsidP="001D4C8C">
            <w:pPr>
              <w:jc w:val="center"/>
              <w:rPr>
                <w:color w:val="000000"/>
              </w:rPr>
            </w:pPr>
            <w:r w:rsidRPr="00795FE1">
              <w:rPr>
                <w:color w:val="000000"/>
              </w:rPr>
              <w:t>Сведения об организаторе аукциона</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45F86D01" w14:textId="0E59B0F5" w:rsidR="001D4C8C" w:rsidRPr="00795FE1" w:rsidRDefault="001D4C8C" w:rsidP="001D4C8C">
            <w:r w:rsidRPr="00795FE1">
              <w:t xml:space="preserve">Витебский филиал РУП «Институт недвижимости и оценки», г. Витебск                         ул. Свидинского, 4, 210016, УНП 300999546,  </w:t>
            </w:r>
          </w:p>
          <w:p w14:paraId="09AA422D" w14:textId="4943D7F8" w:rsidR="001D4C8C" w:rsidRPr="00795FE1" w:rsidRDefault="001D4C8C" w:rsidP="001D4C8C">
            <w:r w:rsidRPr="00795FE1">
              <w:t>тел. 8 0212 366-366, 365-365- 365-495, 29 591 00 02, 29 384 24 05</w:t>
            </w:r>
          </w:p>
          <w:p w14:paraId="60A06B8B" w14:textId="19072456" w:rsidR="001D4C8C" w:rsidRPr="00795FE1" w:rsidRDefault="001D4C8C" w:rsidP="001D4C8C">
            <w:pPr>
              <w:rPr>
                <w:b/>
              </w:rPr>
            </w:pPr>
            <w:r w:rsidRPr="00795FE1">
              <w:rPr>
                <w:b/>
              </w:rPr>
              <w:t>Формы заявлений и соглашения можно предварительно запросить у Организатора аукциона по электронной почте </w:t>
            </w:r>
            <w:hyperlink r:id="rId7" w:history="1">
              <w:r w:rsidRPr="00795FE1">
                <w:rPr>
                  <w:b/>
                </w:rPr>
                <w:t>vitebsk@ino.by</w:t>
              </w:r>
            </w:hyperlink>
          </w:p>
        </w:tc>
      </w:tr>
      <w:tr w:rsidR="001D4C8C" w:rsidRPr="00795FE1" w14:paraId="08EF90B5" w14:textId="77777777" w:rsidTr="008A0754">
        <w:trPr>
          <w:trHeight w:val="683"/>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3536B10" w14:textId="1F8EAE5C" w:rsidR="001D4C8C" w:rsidRPr="00795FE1" w:rsidRDefault="001D4C8C" w:rsidP="001D4C8C">
            <w:pPr>
              <w:jc w:val="center"/>
              <w:rPr>
                <w:color w:val="000000"/>
              </w:rPr>
            </w:pPr>
            <w:r w:rsidRPr="00795FE1">
              <w:rPr>
                <w:color w:val="000000"/>
              </w:rPr>
              <w:t>Срок заключения договора купли-продажи</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423F1403" w14:textId="58FBD821" w:rsidR="001D4C8C" w:rsidRPr="00795FE1" w:rsidRDefault="000D58B6" w:rsidP="00F11514">
            <w:pPr>
              <w:ind w:right="34"/>
              <w:jc w:val="both"/>
            </w:pPr>
            <w:r>
              <w:t>10 дней с даты проведения аукциона</w:t>
            </w:r>
            <w:bookmarkStart w:id="0" w:name="_GoBack"/>
            <w:bookmarkEnd w:id="0"/>
          </w:p>
        </w:tc>
      </w:tr>
      <w:tr w:rsidR="001D4C8C" w:rsidRPr="00795FE1" w14:paraId="574E4D4E" w14:textId="77777777" w:rsidTr="00522376">
        <w:trPr>
          <w:trHeight w:val="823"/>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6AA495E" w14:textId="1EEA75DB" w:rsidR="001D4C8C" w:rsidRPr="00795FE1" w:rsidRDefault="001D4C8C" w:rsidP="001D4C8C">
            <w:pPr>
              <w:jc w:val="center"/>
              <w:rPr>
                <w:color w:val="000000"/>
              </w:rPr>
            </w:pPr>
            <w:r w:rsidRPr="00795FE1">
              <w:rPr>
                <w:color w:val="000000"/>
              </w:rPr>
              <w:t xml:space="preserve">Срок оплаты </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5995FAAA" w14:textId="77777777" w:rsidR="001D4C8C" w:rsidRDefault="000D58B6" w:rsidP="00522376">
            <w:pPr>
              <w:pStyle w:val="underpoint"/>
              <w:spacing w:before="0" w:after="0"/>
              <w:ind w:firstLine="0"/>
            </w:pPr>
            <w:r>
              <w:t>30 дней с даты заключения договора купли продажи. Покупателю по его письменному заявлению предоставляется рассрочка оплаты сто</w:t>
            </w:r>
            <w:r w:rsidR="00907742">
              <w:t>имости имущества</w:t>
            </w:r>
          </w:p>
          <w:p w14:paraId="4DCD47F4" w14:textId="1E485FF5" w:rsidR="00522376" w:rsidRPr="00795FE1" w:rsidRDefault="00522376" w:rsidP="00522376">
            <w:pPr>
              <w:pStyle w:val="underpoint"/>
              <w:spacing w:before="0" w:after="0"/>
              <w:ind w:firstLine="0"/>
            </w:pPr>
          </w:p>
        </w:tc>
      </w:tr>
      <w:tr w:rsidR="001D4C8C" w:rsidRPr="00795FE1" w14:paraId="5FDCE3A6" w14:textId="77777777" w:rsidTr="00A76AAE">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EEEBD73" w14:textId="3396B74D" w:rsidR="001D4C8C" w:rsidRPr="00795FE1" w:rsidRDefault="001D4C8C" w:rsidP="001D4C8C">
            <w:pPr>
              <w:jc w:val="center"/>
              <w:rPr>
                <w:color w:val="000000"/>
              </w:rPr>
            </w:pPr>
            <w:r w:rsidRPr="00795FE1">
              <w:rPr>
                <w:color w:val="000000"/>
              </w:rPr>
              <w:t>Условия аукциона</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27E6E49B" w14:textId="630A724E" w:rsidR="001D4C8C" w:rsidRPr="00795FE1" w:rsidRDefault="000D58B6" w:rsidP="00B0682E">
            <w:pPr>
              <w:pStyle w:val="underpoint"/>
              <w:spacing w:before="0" w:after="0"/>
              <w:ind w:firstLine="0"/>
            </w:pPr>
            <w:r w:rsidRPr="00795FE1">
              <w:rPr>
                <w:color w:val="000000"/>
              </w:rPr>
              <w:t>Победитель (единственный участник</w:t>
            </w:r>
            <w:r>
              <w:rPr>
                <w:color w:val="000000"/>
              </w:rPr>
              <w:t>,</w:t>
            </w:r>
            <w:r w:rsidRPr="00795FE1">
              <w:rPr>
                <w:color w:val="000000"/>
              </w:rPr>
              <w:t xml:space="preserve"> выразивший согласие на приобретение имущества)</w:t>
            </w:r>
            <w:r>
              <w:rPr>
                <w:color w:val="000000"/>
              </w:rPr>
              <w:t xml:space="preserve"> возмещает</w:t>
            </w:r>
            <w:r>
              <w:t xml:space="preserve"> продавцу затраты, связанные с подготовкой имущества к продаже (оценка имущества) в размере 198,00 (Сто девяносто восемь</w:t>
            </w:r>
            <w:r w:rsidR="00B0682E">
              <w:t xml:space="preserve"> рублей 00 копеек</w:t>
            </w:r>
            <w:r>
              <w:t xml:space="preserve">) </w:t>
            </w:r>
          </w:p>
        </w:tc>
      </w:tr>
      <w:tr w:rsidR="001D4C8C" w:rsidRPr="00795FE1" w14:paraId="51E6BEFC" w14:textId="77777777" w:rsidTr="00A76AAE">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1B20E0C" w14:textId="1780FD98" w:rsidR="001D4C8C" w:rsidRPr="00795FE1" w:rsidRDefault="001D4C8C" w:rsidP="001D4C8C">
            <w:pPr>
              <w:jc w:val="center"/>
              <w:rPr>
                <w:color w:val="000000"/>
              </w:rPr>
            </w:pPr>
            <w:r w:rsidRPr="00795FE1">
              <w:rPr>
                <w:color w:val="000000"/>
              </w:rPr>
              <w:t xml:space="preserve">Фактические затраты по организации и проведению аукциона </w:t>
            </w:r>
          </w:p>
        </w:tc>
        <w:tc>
          <w:tcPr>
            <w:tcW w:w="7676" w:type="dxa"/>
            <w:tcBorders>
              <w:top w:val="single" w:sz="4" w:space="0" w:color="auto"/>
              <w:left w:val="nil"/>
              <w:bottom w:val="single" w:sz="4" w:space="0" w:color="auto"/>
              <w:right w:val="single" w:sz="8" w:space="0" w:color="000000"/>
            </w:tcBorders>
            <w:shd w:val="clear" w:color="auto" w:fill="auto"/>
            <w:vAlign w:val="center"/>
          </w:tcPr>
          <w:p w14:paraId="26D198FC" w14:textId="62D5C65F" w:rsidR="001D4C8C" w:rsidRPr="00795FE1" w:rsidRDefault="001D4C8C" w:rsidP="001D4C8C">
            <w:pPr>
              <w:jc w:val="both"/>
            </w:pPr>
            <w:r w:rsidRPr="00795FE1">
              <w:rPr>
                <w:color w:val="000000"/>
              </w:rPr>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r>
      <w:tr w:rsidR="001D4C8C" w:rsidRPr="00795FE1" w14:paraId="4602EECA" w14:textId="77777777" w:rsidTr="00A301C7">
        <w:trPr>
          <w:trHeight w:val="1576"/>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68F16F" w14:textId="48976E37" w:rsidR="001D4C8C" w:rsidRPr="00795FE1" w:rsidRDefault="004A5EAE" w:rsidP="004A5EAE">
            <w:pPr>
              <w:jc w:val="both"/>
              <w:rPr>
                <w:color w:val="000000"/>
              </w:rPr>
            </w:pPr>
            <w:r w:rsidRPr="00795FE1">
              <w:rPr>
                <w:color w:val="000000"/>
              </w:rPr>
              <w:t>Порядок проведения аукциона определен Положением о порядке организации и проведения аукционов (конкурсов) по продаже отдельных объектов, находящихся в государственной собственности, утвержденным постановлением Совета Министров Республики Беларусь от 12.07.2013.  N609 «Об утверждении Положения о порядке организации и проведения аукционов (конкурсов) по продаже отдельных объектов,  находящихся в государственной собственности».</w:t>
            </w:r>
          </w:p>
        </w:tc>
      </w:tr>
      <w:tr w:rsidR="001D4C8C" w:rsidRPr="00795FE1" w14:paraId="137F2757" w14:textId="77777777" w:rsidTr="00A76AAE">
        <w:trPr>
          <w:trHeight w:val="305"/>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8F8F73" w14:textId="77777777" w:rsidR="001D4C8C" w:rsidRPr="00795FE1" w:rsidRDefault="001D4C8C" w:rsidP="001D4C8C">
            <w:pPr>
              <w:jc w:val="center"/>
              <w:rPr>
                <w:bCs/>
              </w:rPr>
            </w:pPr>
            <w:r w:rsidRPr="00795FE1">
              <w:rPr>
                <w:bCs/>
              </w:rPr>
              <w:lastRenderedPageBreak/>
              <w:t>Условия участия в аукционе</w:t>
            </w:r>
          </w:p>
        </w:tc>
      </w:tr>
      <w:tr w:rsidR="001D4C8C" w:rsidRPr="00795FE1" w14:paraId="636DB45D" w14:textId="77777777" w:rsidTr="00A76AAE">
        <w:trPr>
          <w:trHeight w:val="305"/>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14F220" w14:textId="77777777" w:rsidR="001D4C8C" w:rsidRPr="00795FE1" w:rsidRDefault="001D4C8C" w:rsidP="001D4C8C">
            <w:pPr>
              <w:ind w:right="34" w:firstLine="606"/>
              <w:jc w:val="both"/>
            </w:pPr>
            <w:r w:rsidRPr="00795FE1">
              <w:t>Участниками аукциона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14:paraId="0E996DF9" w14:textId="6225A54A" w:rsidR="001D4C8C" w:rsidRPr="00795FE1" w:rsidRDefault="001D4C8C" w:rsidP="001D4C8C">
            <w:pPr>
              <w:ind w:right="34" w:firstLine="606"/>
              <w:jc w:val="both"/>
            </w:pPr>
            <w:r w:rsidRPr="00795FE1">
              <w:t>Лицо, желающее принять участие в аукционе, не позднее срока, указанного в извещении о проведении аукциона, подает Организатору аукциона заявление на участие в аукционе (по форме, установленной Организатором аукциона) к которому прилагает:</w:t>
            </w:r>
          </w:p>
          <w:p w14:paraId="2F1CB3B6" w14:textId="77777777" w:rsidR="001D4C8C" w:rsidRPr="00795FE1" w:rsidRDefault="001D4C8C" w:rsidP="001D4C8C">
            <w:pPr>
              <w:ind w:right="34" w:firstLine="606"/>
              <w:jc w:val="both"/>
            </w:pPr>
            <w:r w:rsidRPr="00795FE1">
              <w:t xml:space="preserve">документ, подтверждающий внесение суммы задатка на расчетный счет, указанный в извещении; </w:t>
            </w:r>
          </w:p>
          <w:p w14:paraId="2816F64A" w14:textId="38FF074E" w:rsidR="001D4C8C" w:rsidRPr="00795FE1" w:rsidRDefault="001D4C8C" w:rsidP="001D4C8C">
            <w:pPr>
              <w:ind w:right="34" w:firstLine="606"/>
              <w:jc w:val="both"/>
              <w:rPr>
                <w:color w:val="000000"/>
              </w:rPr>
            </w:pPr>
            <w:r w:rsidRPr="00795FE1">
              <w:rPr>
                <w:color w:val="000000"/>
              </w:rPr>
              <w:t>юридическим лицом или индивидуальным предпринимателем Республики Беларусь – копию документа, подтверждающего государственную регистрацию юридического лица или индивидуального предпринимателя, заверенную в установленном законодательством порядке;</w:t>
            </w:r>
          </w:p>
          <w:p w14:paraId="13F341FD" w14:textId="243EDAEB" w:rsidR="001D4C8C" w:rsidRPr="00795FE1" w:rsidRDefault="001D4C8C" w:rsidP="001D4C8C">
            <w:pPr>
              <w:ind w:right="34" w:firstLine="606"/>
              <w:jc w:val="both"/>
            </w:pPr>
            <w:r w:rsidRPr="00795FE1">
              <w:t>иностранным юридическим лицом – легализованные в установленном порядке копии учредительных документов и выписку из торгового реестра страны учреждения (выписка должна быть произведена не ранее шести месяцев до подачи </w:t>
            </w:r>
            <w:hyperlink r:id="rId8" w:anchor="a12" w:tooltip="+" w:history="1">
              <w:r w:rsidRPr="00795FE1">
                <w:t>заявления</w:t>
              </w:r>
            </w:hyperlink>
            <w:r w:rsidRPr="00795FE1">
              <w:t> на участие в аукционе)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14:paraId="763736DC" w14:textId="77777777" w:rsidR="001D4C8C" w:rsidRPr="00795FE1" w:rsidRDefault="001D4C8C" w:rsidP="001D4C8C">
            <w:pPr>
              <w:ind w:right="34" w:firstLine="606"/>
              <w:jc w:val="both"/>
              <w:rPr>
                <w:color w:val="000000"/>
              </w:rPr>
            </w:pPr>
            <w:r w:rsidRPr="00795FE1">
              <w:rPr>
                <w:color w:val="000000"/>
              </w:rPr>
              <w:t>представителем юридического лица Республики Беларусь – доверенность, выданную в установленном законодательством порядке (за исключением руководителя юридического лица);</w:t>
            </w:r>
          </w:p>
          <w:p w14:paraId="3F409FB7" w14:textId="77777777" w:rsidR="001D4C8C" w:rsidRPr="00795FE1" w:rsidRDefault="001D4C8C" w:rsidP="001D4C8C">
            <w:pPr>
              <w:ind w:right="34" w:firstLine="606"/>
              <w:jc w:val="both"/>
              <w:rPr>
                <w:color w:val="000000"/>
              </w:rPr>
            </w:pPr>
            <w:r w:rsidRPr="00795FE1">
              <w:rPr>
                <w:color w:val="000000"/>
              </w:rPr>
              <w:t>представителем гражданина или индивидуального предпринимателя Республики Беларусь – нотариально удостоверенную доверенность;</w:t>
            </w:r>
          </w:p>
          <w:p w14:paraId="2D3C0AD2" w14:textId="77777777" w:rsidR="001D4C8C" w:rsidRPr="00795FE1" w:rsidRDefault="001D4C8C" w:rsidP="001D4C8C">
            <w:pPr>
              <w:ind w:right="34" w:firstLine="606"/>
              <w:jc w:val="both"/>
            </w:pPr>
            <w:r w:rsidRPr="00795FE1">
              <w:t>представителем иностранного гражданина – нотариально удостоверенную доверенность с переводом на русский либо белорусский язык;</w:t>
            </w:r>
          </w:p>
          <w:p w14:paraId="7377DDDF" w14:textId="77777777" w:rsidR="001D4C8C" w:rsidRPr="00795FE1" w:rsidRDefault="001D4C8C" w:rsidP="001D4C8C">
            <w:pPr>
              <w:ind w:right="34" w:firstLine="606"/>
              <w:jc w:val="both"/>
            </w:pPr>
            <w:r w:rsidRPr="00795FE1">
              <w:t>представителем иностранного юридического лица, иностранного физического лица – доверенность, легализованную в установленном законодательством порядке, с нотариально засвидетельствованным переводом на белорусский или русский язык.</w:t>
            </w:r>
          </w:p>
          <w:p w14:paraId="5887AE12" w14:textId="26E9E3D8" w:rsidR="001D4C8C" w:rsidRPr="00795FE1" w:rsidRDefault="001D4C8C" w:rsidP="001D4C8C">
            <w:pPr>
              <w:ind w:right="34" w:firstLine="606"/>
              <w:jc w:val="both"/>
            </w:pPr>
            <w:r w:rsidRPr="00795FE1">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14:paraId="75D68E09" w14:textId="18215900" w:rsidR="008A0754" w:rsidRPr="00795FE1" w:rsidRDefault="008A0754" w:rsidP="001D4C8C">
            <w:pPr>
              <w:ind w:right="34" w:firstLine="606"/>
              <w:jc w:val="both"/>
            </w:pPr>
            <w:r w:rsidRPr="00795FE1">
              <w:t xml:space="preserve">К участию в торгах допускаются лица, подавшие организатору торгов в указанный в извещении срок </w:t>
            </w:r>
            <w:hyperlink r:id="rId9" w:anchor="a12" w:tooltip="+" w:history="1">
              <w:r w:rsidRPr="00795FE1">
                <w:t>заявление</w:t>
              </w:r>
            </w:hyperlink>
            <w:r w:rsidRPr="00795FE1">
              <w:t xml:space="preserve"> на участие в торгах с приложением всех необходимых документов, внесшие в установленном порядке на указанный в извещении текущий (расчетный) банковский счет сумму задатка (задатков), заключившие с организатором торгов </w:t>
            </w:r>
            <w:hyperlink r:id="rId10" w:anchor="a14" w:tooltip="+" w:history="1">
              <w:r w:rsidRPr="00795FE1">
                <w:t>соглашение</w:t>
              </w:r>
            </w:hyperlink>
            <w:r w:rsidRPr="00795FE1">
              <w:t>, зарегистрированные в журнале регистрации заявлений на участие в торгах и получившие билеты участников торгов с указанием даты регистрации заявления.</w:t>
            </w:r>
          </w:p>
          <w:p w14:paraId="3DEB9BE5" w14:textId="345E1BBF" w:rsidR="001D4C8C" w:rsidRPr="00795FE1" w:rsidRDefault="001D4C8C" w:rsidP="001D4C8C">
            <w:pPr>
              <w:ind w:right="34" w:firstLine="606"/>
              <w:jc w:val="both"/>
            </w:pPr>
            <w:r w:rsidRPr="00795FE1">
              <w:t xml:space="preserve">Направление документов почтовым отправлением, с целью регистрации в качестве участника аукциона, не допускается. </w:t>
            </w:r>
          </w:p>
          <w:p w14:paraId="12C871F1" w14:textId="77777777" w:rsidR="001D4C8C" w:rsidRPr="00795FE1" w:rsidRDefault="001D4C8C" w:rsidP="008A0754">
            <w:pPr>
              <w:ind w:right="34" w:firstLine="606"/>
              <w:jc w:val="both"/>
            </w:pPr>
            <w:r w:rsidRPr="00795FE1">
              <w:t>Сведения об участниках аукциона не подлежат разглашению за исключением случаев, предусмотренных законодательством.</w:t>
            </w:r>
          </w:p>
          <w:p w14:paraId="2EC7E48C" w14:textId="2FB3F23F" w:rsidR="001D4C8C" w:rsidRPr="00795FE1" w:rsidRDefault="001D4C8C" w:rsidP="008A0754">
            <w:pPr>
              <w:ind w:right="34" w:firstLine="606"/>
              <w:jc w:val="both"/>
            </w:pPr>
            <w:r w:rsidRPr="00795FE1">
              <w:t>Лицо, допущенное к участию в аукционе, до начала аукциона вправе отказаться от участия в нем. Отказом признается как письменное заявление, так и неявка на аукцион. В указанном случае Организатор аукциона обязан возвратить сумму внесенного задатка в течение 5 (пяти) рабочих дней со дня проведения аукциона.</w:t>
            </w:r>
          </w:p>
          <w:p w14:paraId="459798F7" w14:textId="016AE2F3" w:rsidR="001D4C8C" w:rsidRPr="00795FE1" w:rsidRDefault="001D4C8C" w:rsidP="008A0754">
            <w:pPr>
              <w:ind w:right="34" w:firstLine="606"/>
              <w:jc w:val="both"/>
            </w:pPr>
            <w:r w:rsidRPr="00795FE1">
              <w:t>Победителем аукциона признается участник, предложивший наиболее высокую цену за предмет аукциона, либо единственный участник, согласный приобрести предмет аукциона по начальной цене, увеличенной на пять процентов.</w:t>
            </w:r>
          </w:p>
          <w:p w14:paraId="63D407DB" w14:textId="77777777" w:rsidR="001D4C8C" w:rsidRPr="00795FE1" w:rsidRDefault="001D4C8C" w:rsidP="008A0754">
            <w:pPr>
              <w:ind w:right="34" w:firstLine="606"/>
              <w:jc w:val="both"/>
            </w:pPr>
            <w:r w:rsidRPr="00795FE1">
              <w:t xml:space="preserve">Задаток, внесенный Победителем аукциона (Претендентом на покупку), учитывается в счет окончательной стоимости предмета аукциона. </w:t>
            </w:r>
          </w:p>
          <w:p w14:paraId="09C2D4B1" w14:textId="77777777" w:rsidR="001D4C8C" w:rsidRPr="00795FE1" w:rsidRDefault="001D4C8C" w:rsidP="008A0754">
            <w:pPr>
              <w:ind w:right="34" w:firstLine="606"/>
              <w:jc w:val="both"/>
            </w:pPr>
            <w:r w:rsidRPr="00795FE1">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77BEA1CD" w14:textId="3B60C06C" w:rsidR="001D4C8C" w:rsidRPr="00795FE1" w:rsidRDefault="001D4C8C" w:rsidP="008A0754">
            <w:pPr>
              <w:ind w:right="34" w:firstLine="606"/>
              <w:jc w:val="both"/>
            </w:pPr>
            <w:r w:rsidRPr="00795FE1">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D43F644" w14:textId="01F6E512" w:rsidR="001D4C8C" w:rsidRPr="00795FE1" w:rsidRDefault="001D4C8C" w:rsidP="001D4C8C">
            <w:pPr>
              <w:ind w:firstLine="708"/>
              <w:jc w:val="both"/>
              <w:outlineLvl w:val="0"/>
            </w:pPr>
            <w:r w:rsidRPr="00795FE1">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134B83D2" w14:textId="77777777" w:rsidR="001D4C8C" w:rsidRPr="00795FE1" w:rsidRDefault="001D4C8C" w:rsidP="001D4C8C">
            <w:pPr>
              <w:ind w:firstLine="708"/>
              <w:jc w:val="both"/>
              <w:outlineLvl w:val="0"/>
            </w:pPr>
            <w:r w:rsidRPr="00795FE1">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530CBF18" w14:textId="77777777" w:rsidR="001D4C8C" w:rsidRPr="00795FE1" w:rsidRDefault="001D4C8C" w:rsidP="001D4C8C">
            <w:pPr>
              <w:ind w:firstLine="708"/>
              <w:jc w:val="both"/>
              <w:outlineLvl w:val="0"/>
            </w:pPr>
            <w:r w:rsidRPr="00795FE1">
              <w:lastRenderedPageBreak/>
              <w:t>- участники аукциона, отказались объявить свою цену за предмет аукциона, в результате чего аукцион признан нерезультативным.</w:t>
            </w:r>
          </w:p>
          <w:p w14:paraId="3DF46259" w14:textId="430D9E34" w:rsidR="008A0754" w:rsidRPr="00795FE1" w:rsidRDefault="001D4C8C" w:rsidP="00522376">
            <w:pPr>
              <w:pStyle w:val="newncpi"/>
              <w:shd w:val="clear" w:color="auto" w:fill="FFFFFF"/>
              <w:ind w:firstLine="606"/>
            </w:pPr>
            <w:r w:rsidRPr="00795FE1">
              <w:rPr>
                <w:color w:val="000000"/>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r w:rsidR="00BD2AC1" w:rsidRPr="00795FE1" w14:paraId="41C11B25" w14:textId="77777777" w:rsidTr="00A76AAE">
        <w:trPr>
          <w:trHeight w:val="305"/>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F3C45E" w14:textId="0C075BDA" w:rsidR="00BD2AC1" w:rsidRPr="00795FE1" w:rsidRDefault="00BD2AC1" w:rsidP="00BD2AC1">
            <w:pPr>
              <w:ind w:right="34" w:firstLine="606"/>
              <w:jc w:val="center"/>
            </w:pPr>
            <w:r>
              <w:lastRenderedPageBreak/>
              <w:t>Порядок проведения торгов</w:t>
            </w:r>
          </w:p>
        </w:tc>
      </w:tr>
      <w:tr w:rsidR="00BD2AC1" w:rsidRPr="00795FE1" w14:paraId="6AC9FC2F" w14:textId="77777777" w:rsidTr="00A76AAE">
        <w:trPr>
          <w:trHeight w:val="305"/>
        </w:trPr>
        <w:tc>
          <w:tcPr>
            <w:tcW w:w="10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A042B8" w14:textId="77777777" w:rsidR="00BD2AC1" w:rsidRPr="00BD2AC1" w:rsidRDefault="00BD2AC1" w:rsidP="00BD2AC1">
            <w:pPr>
              <w:pStyle w:val="point"/>
              <w:shd w:val="clear" w:color="auto" w:fill="FFFFFF"/>
              <w:spacing w:before="0" w:beforeAutospacing="0" w:after="0" w:afterAutospacing="0"/>
              <w:ind w:firstLine="567"/>
              <w:jc w:val="both"/>
              <w:rPr>
                <w:color w:val="000000"/>
                <w:lang w:val="ru-RU"/>
              </w:rPr>
            </w:pPr>
            <w:r w:rsidRPr="00BD2AC1">
              <w:rPr>
                <w:color w:val="000000"/>
                <w:lang w:val="ru-RU"/>
              </w:rPr>
              <w:t>Торги проводятся в месте, день и время, указанные в извещении.</w:t>
            </w:r>
          </w:p>
          <w:p w14:paraId="0BB03C99" w14:textId="4E774F65" w:rsidR="00BD2AC1" w:rsidRPr="00BD2AC1" w:rsidRDefault="00BD2AC1" w:rsidP="00BD2AC1">
            <w:pPr>
              <w:pStyle w:val="point"/>
              <w:shd w:val="clear" w:color="auto" w:fill="FFFFFF"/>
              <w:spacing w:before="0" w:beforeAutospacing="0" w:after="0" w:afterAutospacing="0"/>
              <w:ind w:firstLine="567"/>
              <w:jc w:val="both"/>
              <w:rPr>
                <w:color w:val="000000"/>
                <w:lang w:val="ru-RU"/>
              </w:rPr>
            </w:pPr>
            <w:r w:rsidRPr="00BD2AC1">
              <w:rPr>
                <w:color w:val="000000"/>
                <w:lang w:val="ru-RU"/>
              </w:rPr>
              <w:t>Аукцион проводит аукционист, определяемый организатором аукциона.</w:t>
            </w:r>
          </w:p>
          <w:p w14:paraId="03115E00" w14:textId="0332C9E0" w:rsidR="00BD2AC1" w:rsidRPr="00BD2AC1" w:rsidRDefault="00BD2AC1" w:rsidP="00BD2AC1">
            <w:pPr>
              <w:pStyle w:val="point"/>
              <w:shd w:val="clear" w:color="auto" w:fill="FFFFFF"/>
              <w:spacing w:before="0" w:beforeAutospacing="0" w:after="0" w:afterAutospacing="0"/>
              <w:ind w:firstLine="567"/>
              <w:jc w:val="both"/>
              <w:rPr>
                <w:color w:val="000000"/>
                <w:lang w:val="ru-RU"/>
              </w:rPr>
            </w:pPr>
            <w:r w:rsidRPr="00BD2AC1">
              <w:rPr>
                <w:color w:val="000000"/>
                <w:lang w:val="ru-RU"/>
              </w:rPr>
              <w:t>Не допускаются начало торгов и продажа предмета аукциона по начальной цене. Если по объявленной аукционистом цене продажи предмета аукциона аукционные номера подняли два участника аукциона и более, аукционист объявляет новую цену продажи предмета аукциона в соответствии с шагом аукциона. Аукцион продолжается до тех пор, пока по новой объявленной аукционистом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w:t>
            </w:r>
            <w:r>
              <w:rPr>
                <w:color w:val="000000"/>
              </w:rPr>
              <w:t> </w:t>
            </w:r>
            <w:r w:rsidRPr="00BD2AC1">
              <w:rPr>
                <w:color w:val="000000"/>
                <w:lang w:val="ru-RU"/>
              </w:rPr>
              <w:t>– победителем аукциона по продаже соответствующего предмета аукциона.</w:t>
            </w:r>
          </w:p>
          <w:p w14:paraId="4C4FE41D" w14:textId="3BB272B7" w:rsidR="00BD2AC1" w:rsidRPr="00BD2AC1" w:rsidRDefault="00BD2AC1" w:rsidP="00BD2AC1">
            <w:pPr>
              <w:pStyle w:val="point"/>
              <w:shd w:val="clear" w:color="auto" w:fill="FFFFFF"/>
              <w:spacing w:before="0" w:beforeAutospacing="0" w:after="0" w:afterAutospacing="0"/>
              <w:ind w:firstLine="567"/>
              <w:jc w:val="both"/>
              <w:rPr>
                <w:color w:val="000000"/>
                <w:lang w:val="ru-RU"/>
              </w:rPr>
            </w:pPr>
            <w:bookmarkStart w:id="1" w:name="a11"/>
            <w:bookmarkEnd w:id="1"/>
            <w:r>
              <w:rPr>
                <w:color w:val="000000"/>
              </w:rPr>
              <w:t> </w:t>
            </w:r>
            <w:r w:rsidRPr="00BD2AC1">
              <w:rPr>
                <w:color w:val="000000"/>
                <w:lang w:val="ru-RU"/>
              </w:rPr>
              <w:t>Если два и более участника аукциона согласились с объявленной аукционистом ценой продажи предмета аукциона,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данного участника, трижды предложенную им цену и при отсутствии предложений иных участников аукциона объявляет о продаже предмета аукциона, а этого участника</w:t>
            </w:r>
            <w:r>
              <w:rPr>
                <w:color w:val="000000"/>
              </w:rPr>
              <w:t> </w:t>
            </w:r>
            <w:r w:rsidRPr="00BD2AC1">
              <w:rPr>
                <w:color w:val="000000"/>
                <w:lang w:val="ru-RU"/>
              </w:rPr>
              <w:t>– победителем аукциона по продаже соответствующего предмета аукциона. Если после предложения аукциониста об объявлении участниками аукциона своей цены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w:t>
            </w:r>
            <w:r>
              <w:rPr>
                <w:color w:val="000000"/>
              </w:rPr>
              <w:t> </w:t>
            </w:r>
            <w:r w:rsidRPr="00BD2AC1">
              <w:rPr>
                <w:color w:val="000000"/>
                <w:lang w:val="ru-RU"/>
              </w:rPr>
              <w:t>– победителем аукциона по продаже соответствующего предмета аукциона. Если ни один из участников аукциона не предложил свою цену, аукцион признается нерезультативным.</w:t>
            </w:r>
          </w:p>
          <w:p w14:paraId="2FEF1CA2" w14:textId="1300369B" w:rsidR="00BD2AC1" w:rsidRDefault="00BD2AC1" w:rsidP="00BD2AC1">
            <w:pPr>
              <w:pStyle w:val="newncpi"/>
              <w:shd w:val="clear" w:color="auto" w:fill="FFFFFF"/>
              <w:rPr>
                <w:color w:val="000000"/>
              </w:rPr>
            </w:pPr>
            <w:bookmarkStart w:id="2" w:name="a10"/>
            <w:bookmarkEnd w:id="2"/>
            <w:r>
              <w:rPr>
                <w:color w:val="000000"/>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 объявлении своей цены,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размере, указанном в </w:t>
            </w:r>
            <w:hyperlink r:id="rId11" w:anchor="a14" w:tooltip="+" w:history="1">
              <w:r w:rsidRPr="00636F9C">
                <w:rPr>
                  <w:color w:val="000000"/>
                </w:rPr>
                <w:t>соглашении</w:t>
              </w:r>
            </w:hyperlink>
            <w:r>
              <w:rPr>
                <w:color w:val="000000"/>
              </w:rPr>
              <w:t>.</w:t>
            </w:r>
          </w:p>
          <w:p w14:paraId="7BD30DEB" w14:textId="77777777" w:rsidR="00BD2AC1" w:rsidRDefault="00BD2AC1" w:rsidP="00BD2AC1">
            <w:pPr>
              <w:ind w:right="34" w:firstLine="606"/>
              <w:jc w:val="center"/>
            </w:pPr>
          </w:p>
        </w:tc>
      </w:tr>
    </w:tbl>
    <w:p w14:paraId="4CD716C7" w14:textId="23461765" w:rsidR="006F521D" w:rsidRPr="00795FE1" w:rsidRDefault="006F521D" w:rsidP="00BD2AC1">
      <w:pPr>
        <w:jc w:val="center"/>
      </w:pPr>
    </w:p>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48"/>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B03D5"/>
    <w:rsid w:val="000B117F"/>
    <w:rsid w:val="000B6AD9"/>
    <w:rsid w:val="000B7F91"/>
    <w:rsid w:val="000C1801"/>
    <w:rsid w:val="000C4D75"/>
    <w:rsid w:val="000C53E9"/>
    <w:rsid w:val="000C5C6D"/>
    <w:rsid w:val="000C7CED"/>
    <w:rsid w:val="000D1AEF"/>
    <w:rsid w:val="000D43C4"/>
    <w:rsid w:val="000D58B6"/>
    <w:rsid w:val="000D71F2"/>
    <w:rsid w:val="000D7525"/>
    <w:rsid w:val="000E269F"/>
    <w:rsid w:val="000E577B"/>
    <w:rsid w:val="000E64A8"/>
    <w:rsid w:val="000E73F8"/>
    <w:rsid w:val="000F3C52"/>
    <w:rsid w:val="000F43DF"/>
    <w:rsid w:val="000F4996"/>
    <w:rsid w:val="000F69D2"/>
    <w:rsid w:val="001001D5"/>
    <w:rsid w:val="00113141"/>
    <w:rsid w:val="00113A8F"/>
    <w:rsid w:val="00124307"/>
    <w:rsid w:val="00124416"/>
    <w:rsid w:val="0012568F"/>
    <w:rsid w:val="00127221"/>
    <w:rsid w:val="0013402E"/>
    <w:rsid w:val="00137572"/>
    <w:rsid w:val="00140C2A"/>
    <w:rsid w:val="00142636"/>
    <w:rsid w:val="00143536"/>
    <w:rsid w:val="0014752A"/>
    <w:rsid w:val="00150757"/>
    <w:rsid w:val="00157F67"/>
    <w:rsid w:val="00161ACB"/>
    <w:rsid w:val="001661D6"/>
    <w:rsid w:val="00167F2C"/>
    <w:rsid w:val="00181800"/>
    <w:rsid w:val="00182F71"/>
    <w:rsid w:val="00186176"/>
    <w:rsid w:val="00192F95"/>
    <w:rsid w:val="00195DD3"/>
    <w:rsid w:val="0019766D"/>
    <w:rsid w:val="00197996"/>
    <w:rsid w:val="001A1489"/>
    <w:rsid w:val="001A1BF2"/>
    <w:rsid w:val="001A1EE7"/>
    <w:rsid w:val="001A40EE"/>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52B5A"/>
    <w:rsid w:val="002608D1"/>
    <w:rsid w:val="002648DC"/>
    <w:rsid w:val="00265808"/>
    <w:rsid w:val="00267278"/>
    <w:rsid w:val="002714DA"/>
    <w:rsid w:val="00275F3F"/>
    <w:rsid w:val="00276760"/>
    <w:rsid w:val="0027721A"/>
    <w:rsid w:val="002832A4"/>
    <w:rsid w:val="002837AB"/>
    <w:rsid w:val="00285791"/>
    <w:rsid w:val="00286DEE"/>
    <w:rsid w:val="00293210"/>
    <w:rsid w:val="00295876"/>
    <w:rsid w:val="002A337C"/>
    <w:rsid w:val="002A3974"/>
    <w:rsid w:val="002A4702"/>
    <w:rsid w:val="002B1E1B"/>
    <w:rsid w:val="002B332C"/>
    <w:rsid w:val="002C0B20"/>
    <w:rsid w:val="002C2091"/>
    <w:rsid w:val="002C66C6"/>
    <w:rsid w:val="002D5839"/>
    <w:rsid w:val="002E3584"/>
    <w:rsid w:val="002E394F"/>
    <w:rsid w:val="002E4916"/>
    <w:rsid w:val="002E55DD"/>
    <w:rsid w:val="002E7947"/>
    <w:rsid w:val="002F1A92"/>
    <w:rsid w:val="002F51E9"/>
    <w:rsid w:val="00302BF4"/>
    <w:rsid w:val="003042AA"/>
    <w:rsid w:val="003102AD"/>
    <w:rsid w:val="0031100A"/>
    <w:rsid w:val="00323866"/>
    <w:rsid w:val="0033147C"/>
    <w:rsid w:val="00343718"/>
    <w:rsid w:val="003451D8"/>
    <w:rsid w:val="00353256"/>
    <w:rsid w:val="0035325B"/>
    <w:rsid w:val="00353CF8"/>
    <w:rsid w:val="003617C4"/>
    <w:rsid w:val="00363441"/>
    <w:rsid w:val="00364BA8"/>
    <w:rsid w:val="00366494"/>
    <w:rsid w:val="0037210E"/>
    <w:rsid w:val="00374078"/>
    <w:rsid w:val="00374FEF"/>
    <w:rsid w:val="00376399"/>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40379"/>
    <w:rsid w:val="00440A84"/>
    <w:rsid w:val="00457A8D"/>
    <w:rsid w:val="00461751"/>
    <w:rsid w:val="00462BCF"/>
    <w:rsid w:val="004664AA"/>
    <w:rsid w:val="00467010"/>
    <w:rsid w:val="004805EF"/>
    <w:rsid w:val="0048227B"/>
    <w:rsid w:val="004857D0"/>
    <w:rsid w:val="00486EE5"/>
    <w:rsid w:val="00496B9C"/>
    <w:rsid w:val="00497F5E"/>
    <w:rsid w:val="004A10EE"/>
    <w:rsid w:val="004A3980"/>
    <w:rsid w:val="004A58CB"/>
    <w:rsid w:val="004A5EAE"/>
    <w:rsid w:val="004A67FD"/>
    <w:rsid w:val="004A7C63"/>
    <w:rsid w:val="004B0071"/>
    <w:rsid w:val="004B07F9"/>
    <w:rsid w:val="004B16B7"/>
    <w:rsid w:val="004B5C0D"/>
    <w:rsid w:val="004C152A"/>
    <w:rsid w:val="004C1C21"/>
    <w:rsid w:val="004C3344"/>
    <w:rsid w:val="004C5005"/>
    <w:rsid w:val="004D0A98"/>
    <w:rsid w:val="004D2918"/>
    <w:rsid w:val="004D3060"/>
    <w:rsid w:val="004D47BD"/>
    <w:rsid w:val="004D4A6B"/>
    <w:rsid w:val="004D5C8B"/>
    <w:rsid w:val="004D5CD3"/>
    <w:rsid w:val="004E16E7"/>
    <w:rsid w:val="004E243C"/>
    <w:rsid w:val="004E63FD"/>
    <w:rsid w:val="004F10D2"/>
    <w:rsid w:val="004F2AD1"/>
    <w:rsid w:val="004F47A9"/>
    <w:rsid w:val="004F68E8"/>
    <w:rsid w:val="005007B1"/>
    <w:rsid w:val="00501930"/>
    <w:rsid w:val="00504D6B"/>
    <w:rsid w:val="00506B17"/>
    <w:rsid w:val="00507E20"/>
    <w:rsid w:val="00513056"/>
    <w:rsid w:val="0051459A"/>
    <w:rsid w:val="00514DDA"/>
    <w:rsid w:val="00515F1B"/>
    <w:rsid w:val="00516732"/>
    <w:rsid w:val="00522376"/>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C63"/>
    <w:rsid w:val="00573F64"/>
    <w:rsid w:val="0057513F"/>
    <w:rsid w:val="00580A85"/>
    <w:rsid w:val="00585A9D"/>
    <w:rsid w:val="00586057"/>
    <w:rsid w:val="0059042B"/>
    <w:rsid w:val="005A05E4"/>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2F18"/>
    <w:rsid w:val="006155C5"/>
    <w:rsid w:val="00631713"/>
    <w:rsid w:val="00636F9C"/>
    <w:rsid w:val="0064061D"/>
    <w:rsid w:val="00641033"/>
    <w:rsid w:val="00642D80"/>
    <w:rsid w:val="006468B4"/>
    <w:rsid w:val="006523CB"/>
    <w:rsid w:val="006553BE"/>
    <w:rsid w:val="00662916"/>
    <w:rsid w:val="00663A31"/>
    <w:rsid w:val="00664E09"/>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F521D"/>
    <w:rsid w:val="006F7E8C"/>
    <w:rsid w:val="007011E5"/>
    <w:rsid w:val="007071C1"/>
    <w:rsid w:val="007101E1"/>
    <w:rsid w:val="00711B7B"/>
    <w:rsid w:val="0072709E"/>
    <w:rsid w:val="007274AF"/>
    <w:rsid w:val="0073274C"/>
    <w:rsid w:val="007352F2"/>
    <w:rsid w:val="00746697"/>
    <w:rsid w:val="00750144"/>
    <w:rsid w:val="00752DF4"/>
    <w:rsid w:val="0075302F"/>
    <w:rsid w:val="00753F55"/>
    <w:rsid w:val="00756642"/>
    <w:rsid w:val="00756E27"/>
    <w:rsid w:val="0075751E"/>
    <w:rsid w:val="00757949"/>
    <w:rsid w:val="00762163"/>
    <w:rsid w:val="0076297B"/>
    <w:rsid w:val="007636FE"/>
    <w:rsid w:val="00763F98"/>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53F7"/>
    <w:rsid w:val="007C7BC2"/>
    <w:rsid w:val="007D04CD"/>
    <w:rsid w:val="007D0B2B"/>
    <w:rsid w:val="007D1635"/>
    <w:rsid w:val="007D6E39"/>
    <w:rsid w:val="007D74A2"/>
    <w:rsid w:val="007D7624"/>
    <w:rsid w:val="007E02CE"/>
    <w:rsid w:val="007E2EF4"/>
    <w:rsid w:val="007E76CE"/>
    <w:rsid w:val="007F554B"/>
    <w:rsid w:val="008020C2"/>
    <w:rsid w:val="00802773"/>
    <w:rsid w:val="008027EC"/>
    <w:rsid w:val="0081030F"/>
    <w:rsid w:val="00810729"/>
    <w:rsid w:val="00810DA6"/>
    <w:rsid w:val="00820BAD"/>
    <w:rsid w:val="00823851"/>
    <w:rsid w:val="00823CB0"/>
    <w:rsid w:val="00826B67"/>
    <w:rsid w:val="008320D9"/>
    <w:rsid w:val="00832C01"/>
    <w:rsid w:val="00832FE1"/>
    <w:rsid w:val="0084117C"/>
    <w:rsid w:val="008422C4"/>
    <w:rsid w:val="008479B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4386"/>
    <w:rsid w:val="008E479B"/>
    <w:rsid w:val="008E7AD4"/>
    <w:rsid w:val="008F13F3"/>
    <w:rsid w:val="008F3526"/>
    <w:rsid w:val="008F3AE5"/>
    <w:rsid w:val="008F7938"/>
    <w:rsid w:val="00901AD9"/>
    <w:rsid w:val="009022A7"/>
    <w:rsid w:val="00904ACD"/>
    <w:rsid w:val="00907742"/>
    <w:rsid w:val="00910F73"/>
    <w:rsid w:val="00911318"/>
    <w:rsid w:val="00924D7D"/>
    <w:rsid w:val="0092619D"/>
    <w:rsid w:val="0093219B"/>
    <w:rsid w:val="009325E6"/>
    <w:rsid w:val="0093282F"/>
    <w:rsid w:val="009337EB"/>
    <w:rsid w:val="00937A3F"/>
    <w:rsid w:val="0094375B"/>
    <w:rsid w:val="00946773"/>
    <w:rsid w:val="00947A37"/>
    <w:rsid w:val="009576CD"/>
    <w:rsid w:val="00961364"/>
    <w:rsid w:val="00961E27"/>
    <w:rsid w:val="0096283C"/>
    <w:rsid w:val="009675AB"/>
    <w:rsid w:val="009714D7"/>
    <w:rsid w:val="00974C00"/>
    <w:rsid w:val="00990006"/>
    <w:rsid w:val="00993A10"/>
    <w:rsid w:val="0099443E"/>
    <w:rsid w:val="009A3B55"/>
    <w:rsid w:val="009A6B3C"/>
    <w:rsid w:val="009B2C25"/>
    <w:rsid w:val="009B61B7"/>
    <w:rsid w:val="009B69DE"/>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301C7"/>
    <w:rsid w:val="00A32174"/>
    <w:rsid w:val="00A325EC"/>
    <w:rsid w:val="00A35F08"/>
    <w:rsid w:val="00A360F8"/>
    <w:rsid w:val="00A507A7"/>
    <w:rsid w:val="00A53853"/>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B017BD"/>
    <w:rsid w:val="00B03339"/>
    <w:rsid w:val="00B039FE"/>
    <w:rsid w:val="00B0524E"/>
    <w:rsid w:val="00B0682E"/>
    <w:rsid w:val="00B07005"/>
    <w:rsid w:val="00B179F5"/>
    <w:rsid w:val="00B213F2"/>
    <w:rsid w:val="00B231EB"/>
    <w:rsid w:val="00B237FC"/>
    <w:rsid w:val="00B25C26"/>
    <w:rsid w:val="00B2685C"/>
    <w:rsid w:val="00B2767E"/>
    <w:rsid w:val="00B47D60"/>
    <w:rsid w:val="00B50CE7"/>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704A"/>
    <w:rsid w:val="00BD2256"/>
    <w:rsid w:val="00BD2AC1"/>
    <w:rsid w:val="00BD3FC8"/>
    <w:rsid w:val="00BE1628"/>
    <w:rsid w:val="00BE37D6"/>
    <w:rsid w:val="00BE4999"/>
    <w:rsid w:val="00BE7FC2"/>
    <w:rsid w:val="00BF02E0"/>
    <w:rsid w:val="00BF3EC2"/>
    <w:rsid w:val="00BF7164"/>
    <w:rsid w:val="00C022AD"/>
    <w:rsid w:val="00C0258E"/>
    <w:rsid w:val="00C04187"/>
    <w:rsid w:val="00C04EC7"/>
    <w:rsid w:val="00C10963"/>
    <w:rsid w:val="00C139CF"/>
    <w:rsid w:val="00C14B03"/>
    <w:rsid w:val="00C1706C"/>
    <w:rsid w:val="00C1765E"/>
    <w:rsid w:val="00C361C5"/>
    <w:rsid w:val="00C519CC"/>
    <w:rsid w:val="00C525AF"/>
    <w:rsid w:val="00C527F2"/>
    <w:rsid w:val="00C62AF6"/>
    <w:rsid w:val="00C716C6"/>
    <w:rsid w:val="00C75BA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F1AFF"/>
    <w:rsid w:val="00CF333D"/>
    <w:rsid w:val="00CF416A"/>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3AA"/>
    <w:rsid w:val="00E64AD6"/>
    <w:rsid w:val="00E65020"/>
    <w:rsid w:val="00E664B6"/>
    <w:rsid w:val="00E7059E"/>
    <w:rsid w:val="00E74BC0"/>
    <w:rsid w:val="00E75C9B"/>
    <w:rsid w:val="00E802A4"/>
    <w:rsid w:val="00E818D5"/>
    <w:rsid w:val="00E83EC1"/>
    <w:rsid w:val="00E92C71"/>
    <w:rsid w:val="00E93CC5"/>
    <w:rsid w:val="00E969D5"/>
    <w:rsid w:val="00EA1665"/>
    <w:rsid w:val="00EA2035"/>
    <w:rsid w:val="00EB1CDF"/>
    <w:rsid w:val="00EB387A"/>
    <w:rsid w:val="00EB443E"/>
    <w:rsid w:val="00EB4646"/>
    <w:rsid w:val="00EB4AAE"/>
    <w:rsid w:val="00EB5D69"/>
    <w:rsid w:val="00EB7822"/>
    <w:rsid w:val="00EC30EE"/>
    <w:rsid w:val="00EC650C"/>
    <w:rsid w:val="00ED0048"/>
    <w:rsid w:val="00ED593C"/>
    <w:rsid w:val="00ED75E4"/>
    <w:rsid w:val="00EE082F"/>
    <w:rsid w:val="00EE2C65"/>
    <w:rsid w:val="00EE3B47"/>
    <w:rsid w:val="00EE6C89"/>
    <w:rsid w:val="00EF2F81"/>
    <w:rsid w:val="00F042F9"/>
    <w:rsid w:val="00F06D95"/>
    <w:rsid w:val="00F11514"/>
    <w:rsid w:val="00F20655"/>
    <w:rsid w:val="00F215E8"/>
    <w:rsid w:val="00F30A93"/>
    <w:rsid w:val="00F31152"/>
    <w:rsid w:val="00F35C14"/>
    <w:rsid w:val="00F364A2"/>
    <w:rsid w:val="00F426FE"/>
    <w:rsid w:val="00F42FC2"/>
    <w:rsid w:val="00F44D56"/>
    <w:rsid w:val="00F47F70"/>
    <w:rsid w:val="00F50665"/>
    <w:rsid w:val="00F53B7C"/>
    <w:rsid w:val="00F5679D"/>
    <w:rsid w:val="00F57893"/>
    <w:rsid w:val="00F610ED"/>
    <w:rsid w:val="00F6113F"/>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paragraph" w:customStyle="1" w:styleId="underpoint">
    <w:name w:val="underpoint"/>
    <w:basedOn w:val="a"/>
    <w:rsid w:val="000D58B6"/>
    <w:pPr>
      <w:spacing w:before="160" w:after="160"/>
      <w:ind w:firstLine="567"/>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66612&amp;a=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tebsk@ino.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h@novopolotsk.gov.by" TargetMode="External"/><Relationship Id="rId11" Type="http://schemas.openxmlformats.org/officeDocument/2006/relationships/hyperlink" Target="https://bii.by/tx.dll?d=266612&amp;a=14" TargetMode="External"/><Relationship Id="rId5" Type="http://schemas.openxmlformats.org/officeDocument/2006/relationships/image" Target="media/image1.jpeg"/><Relationship Id="rId10" Type="http://schemas.openxmlformats.org/officeDocument/2006/relationships/hyperlink" Target="tx.dll?d=266612&amp;a=14" TargetMode="External"/><Relationship Id="rId4" Type="http://schemas.openxmlformats.org/officeDocument/2006/relationships/webSettings" Target="webSettings.xml"/><Relationship Id="rId9" Type="http://schemas.openxmlformats.org/officeDocument/2006/relationships/hyperlink" Target="tx.dll?d=266612&amp;a=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4</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11357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67</cp:revision>
  <cp:lastPrinted>2024-08-23T05:49:00Z</cp:lastPrinted>
  <dcterms:created xsi:type="dcterms:W3CDTF">2021-05-25T12:08:00Z</dcterms:created>
  <dcterms:modified xsi:type="dcterms:W3CDTF">2024-10-01T09:44:00Z</dcterms:modified>
</cp:coreProperties>
</file>