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  <w:gridCol w:w="142"/>
      </w:tblGrid>
      <w:tr w:rsidR="00633767" w:rsidRPr="00976424" w14:paraId="56F51A8A" w14:textId="77777777" w:rsidTr="008C300E">
        <w:trPr>
          <w:gridAfter w:val="1"/>
          <w:wAfter w:w="142" w:type="dxa"/>
          <w:trHeight w:val="100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ВИТЕБСКИЙ ФИЛИАЛ </w:t>
            </w:r>
          </w:p>
          <w:p w14:paraId="488CDFA0" w14:textId="77777777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5F6BC641" w14:textId="292221C8" w:rsidR="003478F2" w:rsidRPr="0014752A" w:rsidRDefault="003478F2" w:rsidP="003478F2">
            <w:pPr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информирует о проведении </w:t>
            </w:r>
            <w:r w:rsidR="00880B85">
              <w:rPr>
                <w:sz w:val="28"/>
                <w:szCs w:val="28"/>
              </w:rPr>
              <w:t xml:space="preserve">повторного </w:t>
            </w:r>
            <w:r w:rsidRPr="0014752A">
              <w:rPr>
                <w:sz w:val="28"/>
                <w:szCs w:val="28"/>
              </w:rPr>
              <w:t xml:space="preserve">открытого аукциона по продаже имущества, принадлежащего ОАО «Витебский </w:t>
            </w:r>
            <w:proofErr w:type="gramStart"/>
            <w:r w:rsidRPr="0014752A">
              <w:rPr>
                <w:sz w:val="28"/>
                <w:szCs w:val="28"/>
              </w:rPr>
              <w:t>ликеро</w:t>
            </w:r>
            <w:r w:rsidR="009F5488">
              <w:rPr>
                <w:sz w:val="28"/>
                <w:szCs w:val="28"/>
              </w:rPr>
              <w:t>-</w:t>
            </w:r>
            <w:r w:rsidRPr="0014752A">
              <w:rPr>
                <w:sz w:val="28"/>
                <w:szCs w:val="28"/>
              </w:rPr>
              <w:t>водочный</w:t>
            </w:r>
            <w:proofErr w:type="gramEnd"/>
            <w:r w:rsidRPr="0014752A">
              <w:rPr>
                <w:sz w:val="28"/>
                <w:szCs w:val="28"/>
              </w:rPr>
              <w:t xml:space="preserve"> завод «</w:t>
            </w:r>
            <w:proofErr w:type="spellStart"/>
            <w:r w:rsidRPr="0014752A">
              <w:rPr>
                <w:sz w:val="28"/>
                <w:szCs w:val="28"/>
              </w:rPr>
              <w:t>Придвинье</w:t>
            </w:r>
            <w:proofErr w:type="spellEnd"/>
            <w:r w:rsidRPr="0014752A">
              <w:rPr>
                <w:sz w:val="28"/>
                <w:szCs w:val="28"/>
              </w:rPr>
              <w:t>»</w:t>
            </w:r>
          </w:p>
          <w:p w14:paraId="44A1903E" w14:textId="77777777" w:rsidR="003478F2" w:rsidRPr="0014752A" w:rsidRDefault="003478F2" w:rsidP="003478F2">
            <w:pPr>
              <w:ind w:left="476"/>
              <w:jc w:val="center"/>
              <w:rPr>
                <w:sz w:val="28"/>
                <w:szCs w:val="28"/>
              </w:rPr>
            </w:pPr>
            <w:r w:rsidRPr="0014752A">
              <w:rPr>
                <w:sz w:val="28"/>
                <w:szCs w:val="28"/>
              </w:rPr>
              <w:t xml:space="preserve"> (УНП 300200531)</w:t>
            </w:r>
          </w:p>
          <w:p w14:paraId="0B5BAC7E" w14:textId="52F13083" w:rsidR="00633767" w:rsidRPr="00457614" w:rsidRDefault="00A00961" w:rsidP="00457614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Аукцион состоится </w:t>
            </w:r>
            <w:r w:rsidR="00880B85">
              <w:rPr>
                <w:b/>
                <w:sz w:val="28"/>
                <w:szCs w:val="28"/>
                <w:u w:val="single"/>
              </w:rPr>
              <w:t>30</w:t>
            </w:r>
            <w:r w:rsidR="006D5E01">
              <w:rPr>
                <w:b/>
                <w:sz w:val="28"/>
                <w:szCs w:val="28"/>
                <w:u w:val="single"/>
              </w:rPr>
              <w:t xml:space="preserve"> </w:t>
            </w:r>
            <w:r w:rsidR="00880B85">
              <w:rPr>
                <w:b/>
                <w:sz w:val="28"/>
                <w:szCs w:val="28"/>
                <w:u w:val="single"/>
              </w:rPr>
              <w:t>декабря</w:t>
            </w:r>
            <w:r w:rsidR="006E0A68" w:rsidRPr="00FD556E">
              <w:rPr>
                <w:b/>
                <w:sz w:val="28"/>
                <w:szCs w:val="28"/>
                <w:u w:val="single"/>
              </w:rPr>
              <w:t xml:space="preserve"> </w:t>
            </w:r>
            <w:r w:rsidRPr="00FD556E">
              <w:rPr>
                <w:b/>
                <w:bCs/>
                <w:sz w:val="28"/>
                <w:szCs w:val="28"/>
                <w:u w:val="single"/>
              </w:rPr>
              <w:t>202</w:t>
            </w:r>
            <w:r w:rsidR="00065F56" w:rsidRPr="00FD556E">
              <w:rPr>
                <w:b/>
                <w:bCs/>
                <w:sz w:val="28"/>
                <w:szCs w:val="28"/>
                <w:u w:val="single"/>
              </w:rPr>
              <w:t>4</w:t>
            </w:r>
            <w:r w:rsidR="00880B85">
              <w:rPr>
                <w:b/>
                <w:bCs/>
                <w:sz w:val="28"/>
                <w:szCs w:val="28"/>
                <w:u w:val="single"/>
              </w:rPr>
              <w:t xml:space="preserve"> в 14</w:t>
            </w:r>
            <w:r w:rsidRPr="00FD556E">
              <w:rPr>
                <w:b/>
                <w:bCs/>
                <w:sz w:val="28"/>
                <w:szCs w:val="28"/>
                <w:u w:val="single"/>
              </w:rPr>
              <w:t>.00</w:t>
            </w:r>
            <w:r w:rsidRPr="00FD556E">
              <w:rPr>
                <w:bCs/>
                <w:sz w:val="28"/>
                <w:szCs w:val="28"/>
              </w:rPr>
              <w:t xml:space="preserve"> </w:t>
            </w:r>
            <w:r w:rsidRPr="00A00961">
              <w:rPr>
                <w:bCs/>
                <w:sz w:val="28"/>
                <w:szCs w:val="28"/>
              </w:rPr>
              <w:t>по адресу: г. Витебск, ул. Свидинского, 4</w:t>
            </w:r>
          </w:p>
        </w:tc>
      </w:tr>
      <w:tr w:rsidR="00633767" w:rsidRPr="00C75457" w14:paraId="12D6A292" w14:textId="77777777" w:rsidTr="005643AF">
        <w:trPr>
          <w:gridAfter w:val="1"/>
          <w:wAfter w:w="142" w:type="dxa"/>
          <w:trHeight w:val="4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3D8EE3F3" w:rsidR="00633767" w:rsidRPr="00FD556E" w:rsidRDefault="00633767" w:rsidP="00FD556E">
            <w:pPr>
              <w:jc w:val="center"/>
              <w:rPr>
                <w:b/>
                <w:color w:val="FF0000"/>
              </w:rPr>
            </w:pPr>
            <w:r w:rsidRPr="00FD556E">
              <w:rPr>
                <w:b/>
              </w:rPr>
              <w:t>Лот</w:t>
            </w:r>
            <w:r w:rsidR="00880B85">
              <w:rPr>
                <w:b/>
              </w:rPr>
              <w:t>ы</w:t>
            </w:r>
            <w:r w:rsidR="00065F56" w:rsidRPr="00FD556E">
              <w:rPr>
                <w:b/>
              </w:rPr>
              <w:t xml:space="preserve"> 1</w:t>
            </w:r>
            <w:r w:rsidR="00FD556E" w:rsidRPr="00FD556E">
              <w:rPr>
                <w:b/>
              </w:rPr>
              <w:t xml:space="preserve"> </w:t>
            </w:r>
            <w:r w:rsidR="00880B85">
              <w:rPr>
                <w:b/>
              </w:rPr>
              <w:t>-6</w:t>
            </w:r>
          </w:p>
        </w:tc>
      </w:tr>
      <w:tr w:rsidR="006D5E01" w:rsidRPr="00C75457" w14:paraId="45C3A205" w14:textId="77777777" w:rsidTr="00140E92">
        <w:trPr>
          <w:gridAfter w:val="1"/>
          <w:wAfter w:w="142" w:type="dxa"/>
          <w:trHeight w:val="94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19F65" w14:textId="2B344BA9" w:rsidR="006D5E01" w:rsidRDefault="00880B85" w:rsidP="00140E92">
            <w:pPr>
              <w:tabs>
                <w:tab w:val="left" w:pos="0"/>
              </w:tabs>
              <w:jc w:val="both"/>
            </w:pPr>
            <w:r w:rsidRPr="00880B85">
              <w:rPr>
                <w:b/>
              </w:rPr>
              <w:t>Лот 1:</w:t>
            </w:r>
            <w:r>
              <w:t xml:space="preserve"> </w:t>
            </w:r>
            <w:r w:rsidR="00140E92" w:rsidRPr="00140E92">
              <w:t xml:space="preserve">Грузовой пикап </w:t>
            </w:r>
            <w:r w:rsidR="00140E92" w:rsidRPr="00140E92">
              <w:rPr>
                <w:lang w:val="en-US"/>
              </w:rPr>
              <w:t>PEUGEOT</w:t>
            </w:r>
            <w:r w:rsidR="00140E92" w:rsidRPr="00140E92">
              <w:t xml:space="preserve"> </w:t>
            </w:r>
            <w:r w:rsidR="00140E92" w:rsidRPr="00140E92">
              <w:rPr>
                <w:lang w:val="en-US"/>
              </w:rPr>
              <w:t>PARTNER</w:t>
            </w:r>
            <w:r w:rsidR="00140E92" w:rsidRPr="00140E92">
              <w:t xml:space="preserve">, рег. знак АЕ 6508-2, номер кузова VF3GCWJYBAX512743, 2010 </w:t>
            </w:r>
            <w:proofErr w:type="spellStart"/>
            <w:r w:rsidR="00140E92" w:rsidRPr="00140E92">
              <w:t>г.в</w:t>
            </w:r>
            <w:proofErr w:type="spellEnd"/>
            <w:r w:rsidR="00140E92" w:rsidRPr="00140E92">
              <w:t xml:space="preserve">., цвет – белый, инв. № 2125, </w:t>
            </w:r>
            <w:r w:rsidR="00140E92">
              <w:t xml:space="preserve">находится </w:t>
            </w:r>
            <w:r w:rsidR="00140E92" w:rsidRPr="00140E92">
              <w:t xml:space="preserve">по адресу: Витебская обл., </w:t>
            </w:r>
            <w:proofErr w:type="spellStart"/>
            <w:r w:rsidR="00140E92" w:rsidRPr="00140E92">
              <w:t>Сенненский</w:t>
            </w:r>
            <w:proofErr w:type="spellEnd"/>
            <w:r w:rsidR="00140E92" w:rsidRPr="00140E92">
              <w:t xml:space="preserve"> р-н, </w:t>
            </w:r>
            <w:proofErr w:type="spellStart"/>
            <w:r w:rsidR="00140E92" w:rsidRPr="00140E92">
              <w:t>аг</w:t>
            </w:r>
            <w:proofErr w:type="spellEnd"/>
            <w:r w:rsidR="00140E92" w:rsidRPr="00140E92">
              <w:t xml:space="preserve">. </w:t>
            </w:r>
            <w:proofErr w:type="spellStart"/>
            <w:r w:rsidR="00140E92" w:rsidRPr="00140E92">
              <w:t>Яново</w:t>
            </w:r>
            <w:proofErr w:type="spellEnd"/>
            <w:r w:rsidR="00140E92" w:rsidRPr="00140E92">
              <w:t>, ул. Богушевская, 28, ОСП «Богушевский спиртзавод»</w:t>
            </w:r>
            <w:r>
              <w:t xml:space="preserve">; </w:t>
            </w:r>
            <w:r w:rsidRPr="00F07595">
              <w:t>начальная цена продажи</w:t>
            </w:r>
            <w:r>
              <w:t xml:space="preserve"> с учетом снижения на 15% – </w:t>
            </w:r>
            <w:r w:rsidRPr="00F07595">
              <w:t xml:space="preserve"> </w:t>
            </w:r>
            <w:r w:rsidRPr="00457614">
              <w:rPr>
                <w:b/>
              </w:rPr>
              <w:t>8364,00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>, сумма задатка 836,40</w:t>
            </w:r>
            <w:r w:rsidRPr="00F07595">
              <w:t xml:space="preserve"> белорусских рублей</w:t>
            </w:r>
            <w:r>
              <w:t>.</w:t>
            </w:r>
          </w:p>
          <w:p w14:paraId="699A3FDE" w14:textId="66271152" w:rsidR="00880B85" w:rsidRDefault="00880B85" w:rsidP="00880B85">
            <w:pPr>
              <w:tabs>
                <w:tab w:val="left" w:pos="0"/>
              </w:tabs>
              <w:jc w:val="both"/>
            </w:pPr>
            <w:r w:rsidRPr="00FD556E">
              <w:rPr>
                <w:b/>
              </w:rPr>
              <w:t xml:space="preserve">Лот </w:t>
            </w:r>
            <w:r>
              <w:rPr>
                <w:b/>
              </w:rPr>
              <w:t xml:space="preserve">2: </w:t>
            </w:r>
            <w:r w:rsidRPr="00392E1A">
              <w:rPr>
                <w:color w:val="000000"/>
              </w:rPr>
              <w:t xml:space="preserve">Грузовой пикап PEUGEOT PARTNER, рег. знак АЕ 6507-2, номер кузова VF3GCWJYBAX512749, 2010 </w:t>
            </w:r>
            <w:proofErr w:type="spellStart"/>
            <w:r w:rsidRPr="00392E1A">
              <w:rPr>
                <w:color w:val="000000"/>
              </w:rPr>
              <w:t>г.в</w:t>
            </w:r>
            <w:proofErr w:type="spellEnd"/>
            <w:r w:rsidRPr="00392E1A">
              <w:rPr>
                <w:color w:val="000000"/>
              </w:rPr>
              <w:t>., цвет -белый, инв.№ 2124,</w:t>
            </w:r>
            <w:r w:rsidRPr="00392E1A">
              <w:t xml:space="preserve"> </w:t>
            </w:r>
            <w:r>
              <w:t>находится</w:t>
            </w:r>
            <w:r w:rsidRPr="00392E1A">
              <w:t xml:space="preserve"> по адресу:</w:t>
            </w:r>
            <w:r w:rsidRPr="00392E1A">
              <w:rPr>
                <w:color w:val="000000"/>
              </w:rPr>
              <w:t xml:space="preserve"> г. Витебск, ул. Революционная, 45</w:t>
            </w:r>
            <w:r>
              <w:rPr>
                <w:color w:val="000000"/>
              </w:rPr>
              <w:t xml:space="preserve">; </w:t>
            </w:r>
            <w:r w:rsidRPr="00F07595">
              <w:t>начальная цена продажи</w:t>
            </w:r>
            <w:r>
              <w:t xml:space="preserve"> с учетом снижения на 15% – </w:t>
            </w:r>
            <w:r w:rsidRPr="00F07595">
              <w:t xml:space="preserve"> </w:t>
            </w:r>
            <w:r w:rsidRPr="00457614">
              <w:rPr>
                <w:b/>
              </w:rPr>
              <w:t>7344,00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>, сумма задатка 734,40</w:t>
            </w:r>
            <w:r w:rsidRPr="00F07595">
              <w:t xml:space="preserve"> белорусских рублей</w:t>
            </w:r>
            <w:r>
              <w:t>.</w:t>
            </w:r>
          </w:p>
          <w:p w14:paraId="6F8F2BE6" w14:textId="3D864D60" w:rsidR="00880B85" w:rsidRDefault="00880B85" w:rsidP="00880B85">
            <w:pPr>
              <w:tabs>
                <w:tab w:val="left" w:pos="0"/>
              </w:tabs>
              <w:jc w:val="both"/>
            </w:pPr>
            <w:r w:rsidRPr="00FD556E">
              <w:rPr>
                <w:b/>
              </w:rPr>
              <w:t xml:space="preserve">Лот </w:t>
            </w:r>
            <w:r>
              <w:rPr>
                <w:b/>
              </w:rPr>
              <w:t xml:space="preserve">3: </w:t>
            </w:r>
            <w:r w:rsidRPr="00174AA4">
              <w:rPr>
                <w:color w:val="000000"/>
                <w:sz w:val="22"/>
                <w:szCs w:val="22"/>
              </w:rPr>
              <w:t xml:space="preserve">Грузовой фургон CITROEN BERLINGO, </w:t>
            </w:r>
            <w:r w:rsidRPr="00174AA4">
              <w:rPr>
                <w:sz w:val="22"/>
                <w:szCs w:val="22"/>
              </w:rPr>
              <w:t>рег</w:t>
            </w:r>
            <w:r>
              <w:rPr>
                <w:sz w:val="22"/>
                <w:szCs w:val="22"/>
              </w:rPr>
              <w:t>.</w:t>
            </w:r>
            <w:r w:rsidRPr="00174AA4">
              <w:rPr>
                <w:sz w:val="22"/>
                <w:szCs w:val="22"/>
              </w:rPr>
              <w:t xml:space="preserve"> знак </w:t>
            </w:r>
            <w:r w:rsidRPr="00174AA4">
              <w:rPr>
                <w:color w:val="000000"/>
                <w:sz w:val="22"/>
                <w:szCs w:val="22"/>
              </w:rPr>
              <w:t>АЕ 4778-2</w:t>
            </w:r>
            <w:r w:rsidRPr="00174AA4">
              <w:rPr>
                <w:sz w:val="22"/>
                <w:szCs w:val="22"/>
              </w:rPr>
              <w:t xml:space="preserve">, номер кузова </w:t>
            </w:r>
            <w:r w:rsidRPr="00174AA4">
              <w:rPr>
                <w:color w:val="000000"/>
                <w:sz w:val="22"/>
                <w:szCs w:val="22"/>
              </w:rPr>
              <w:t>VF77F9HXCBJ545056</w:t>
            </w:r>
            <w:r w:rsidRPr="00174AA4">
              <w:rPr>
                <w:sz w:val="22"/>
                <w:szCs w:val="22"/>
              </w:rPr>
              <w:t xml:space="preserve">, 2011 </w:t>
            </w:r>
            <w:proofErr w:type="spellStart"/>
            <w:r w:rsidRPr="00174AA4">
              <w:rPr>
                <w:sz w:val="22"/>
                <w:szCs w:val="22"/>
              </w:rPr>
              <w:t>г.в</w:t>
            </w:r>
            <w:proofErr w:type="spellEnd"/>
            <w:r w:rsidRPr="00174AA4">
              <w:rPr>
                <w:sz w:val="22"/>
                <w:szCs w:val="22"/>
              </w:rPr>
              <w:t xml:space="preserve">., цвет – красный, инв.№2245, </w:t>
            </w:r>
            <w:r>
              <w:rPr>
                <w:sz w:val="22"/>
                <w:szCs w:val="22"/>
              </w:rPr>
              <w:t>находится</w:t>
            </w:r>
            <w:r w:rsidRPr="00174AA4">
              <w:rPr>
                <w:sz w:val="22"/>
                <w:szCs w:val="22"/>
              </w:rPr>
              <w:t xml:space="preserve"> по адресу:</w:t>
            </w:r>
            <w:r>
              <w:rPr>
                <w:sz w:val="22"/>
                <w:szCs w:val="22"/>
              </w:rPr>
              <w:t xml:space="preserve"> </w:t>
            </w:r>
            <w:r w:rsidRPr="00174AA4">
              <w:rPr>
                <w:color w:val="000000"/>
                <w:sz w:val="22"/>
                <w:szCs w:val="22"/>
              </w:rPr>
              <w:t>г. Витебск, ул. Революционная, 45</w:t>
            </w:r>
            <w:r>
              <w:rPr>
                <w:color w:val="000000"/>
              </w:rPr>
              <w:t xml:space="preserve">; </w:t>
            </w:r>
            <w:r w:rsidRPr="00F07595">
              <w:t>начальная цена продажи</w:t>
            </w:r>
            <w:r>
              <w:t xml:space="preserve"> с учетом снижения на 15% – </w:t>
            </w:r>
            <w:r w:rsidRPr="00F07595">
              <w:t xml:space="preserve"> </w:t>
            </w:r>
            <w:r w:rsidRPr="00457614">
              <w:rPr>
                <w:b/>
              </w:rPr>
              <w:t>14994,00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>, сумма задатка 1499,40</w:t>
            </w:r>
            <w:r w:rsidRPr="00F07595">
              <w:t xml:space="preserve"> белорусских рублей</w:t>
            </w:r>
            <w:r>
              <w:t>.</w:t>
            </w:r>
          </w:p>
          <w:p w14:paraId="60135007" w14:textId="28F6BE8B" w:rsidR="00880B85" w:rsidRDefault="00880B85" w:rsidP="00880B85">
            <w:pPr>
              <w:tabs>
                <w:tab w:val="left" w:pos="0"/>
              </w:tabs>
              <w:jc w:val="both"/>
            </w:pPr>
            <w:r w:rsidRPr="00FD556E">
              <w:rPr>
                <w:b/>
              </w:rPr>
              <w:t xml:space="preserve">Лот </w:t>
            </w:r>
            <w:r>
              <w:rPr>
                <w:b/>
              </w:rPr>
              <w:t xml:space="preserve">4: </w:t>
            </w:r>
            <w:r w:rsidRPr="00880B85">
              <w:t xml:space="preserve">Грузопассажирский универсал CITROEN BERLINGO рег. знак АЕ 4162-2, номер кузова VF77JNFRCAJ724208, 2010 </w:t>
            </w:r>
            <w:proofErr w:type="spellStart"/>
            <w:r w:rsidRPr="00880B85">
              <w:t>г.в</w:t>
            </w:r>
            <w:proofErr w:type="spellEnd"/>
            <w:r w:rsidRPr="00880B85">
              <w:t>., цвет –красный, инв. №24519, находится по адресу: г. Витебск, ул. Революционная, 45</w:t>
            </w:r>
            <w:r>
              <w:t xml:space="preserve">; </w:t>
            </w:r>
            <w:r w:rsidRPr="00F07595">
              <w:t>начальная цена продажи</w:t>
            </w:r>
            <w:r>
              <w:t xml:space="preserve"> с учетом снижения на 15% – </w:t>
            </w:r>
            <w:r w:rsidRPr="00F07595">
              <w:t xml:space="preserve"> </w:t>
            </w:r>
            <w:r w:rsidRPr="00457614">
              <w:rPr>
                <w:b/>
              </w:rPr>
              <w:t>13668,00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>, сумма задатка 1366,80</w:t>
            </w:r>
            <w:r w:rsidRPr="00F07595">
              <w:t xml:space="preserve"> белорусских рублей</w:t>
            </w:r>
            <w:r>
              <w:t>.</w:t>
            </w:r>
          </w:p>
          <w:p w14:paraId="533F663D" w14:textId="0B494DF6" w:rsidR="00880B85" w:rsidRPr="00457614" w:rsidRDefault="00880B85" w:rsidP="00140E92">
            <w:pPr>
              <w:tabs>
                <w:tab w:val="left" w:pos="0"/>
              </w:tabs>
              <w:jc w:val="both"/>
            </w:pPr>
            <w:r w:rsidRPr="00FD556E">
              <w:rPr>
                <w:b/>
              </w:rPr>
              <w:t xml:space="preserve">Лот </w:t>
            </w:r>
            <w:r>
              <w:rPr>
                <w:b/>
              </w:rPr>
              <w:t xml:space="preserve">5: </w:t>
            </w:r>
            <w:r w:rsidRPr="00174AA4">
              <w:rPr>
                <w:color w:val="000000"/>
                <w:sz w:val="22"/>
                <w:szCs w:val="22"/>
              </w:rPr>
              <w:t xml:space="preserve">Прицеп специальный </w:t>
            </w:r>
            <w:r w:rsidRPr="00174AA4">
              <w:rPr>
                <w:sz w:val="22"/>
                <w:szCs w:val="22"/>
              </w:rPr>
              <w:t xml:space="preserve">самосвал MAZ 857100-024 рег. знак </w:t>
            </w:r>
            <w:r w:rsidRPr="00174AA4">
              <w:rPr>
                <w:color w:val="000000"/>
                <w:sz w:val="22"/>
                <w:szCs w:val="22"/>
              </w:rPr>
              <w:t>A 0161 A-2</w:t>
            </w:r>
            <w:r w:rsidRPr="00174AA4">
              <w:rPr>
                <w:sz w:val="22"/>
                <w:szCs w:val="22"/>
              </w:rPr>
              <w:t xml:space="preserve">, номер кузова </w:t>
            </w:r>
            <w:r w:rsidRPr="00174AA4">
              <w:rPr>
                <w:color w:val="000000"/>
                <w:sz w:val="22"/>
                <w:szCs w:val="22"/>
              </w:rPr>
              <w:t>Y3M85710070003892</w:t>
            </w:r>
            <w:r w:rsidRPr="00174AA4">
              <w:rPr>
                <w:sz w:val="22"/>
                <w:szCs w:val="22"/>
              </w:rPr>
              <w:t xml:space="preserve">, 2007 </w:t>
            </w:r>
            <w:proofErr w:type="spellStart"/>
            <w:r w:rsidRPr="00174AA4">
              <w:rPr>
                <w:sz w:val="22"/>
                <w:szCs w:val="22"/>
              </w:rPr>
              <w:t>г.в</w:t>
            </w:r>
            <w:proofErr w:type="spellEnd"/>
            <w:r w:rsidRPr="00174AA4">
              <w:rPr>
                <w:sz w:val="22"/>
                <w:szCs w:val="22"/>
              </w:rPr>
              <w:t xml:space="preserve">., цвет – светло-серый, инв. № 504324, расположен по адресу: Витебская обл., </w:t>
            </w:r>
            <w:proofErr w:type="spellStart"/>
            <w:r w:rsidRPr="00174AA4">
              <w:rPr>
                <w:sz w:val="22"/>
                <w:szCs w:val="22"/>
              </w:rPr>
              <w:t>Сенненский</w:t>
            </w:r>
            <w:proofErr w:type="spellEnd"/>
            <w:r w:rsidRPr="00174AA4">
              <w:rPr>
                <w:sz w:val="22"/>
                <w:szCs w:val="22"/>
              </w:rPr>
              <w:t xml:space="preserve"> р-н, </w:t>
            </w:r>
            <w:proofErr w:type="spellStart"/>
            <w:r w:rsidRPr="00174AA4">
              <w:rPr>
                <w:sz w:val="22"/>
                <w:szCs w:val="22"/>
              </w:rPr>
              <w:t>аг</w:t>
            </w:r>
            <w:proofErr w:type="spellEnd"/>
            <w:r w:rsidRPr="00174AA4">
              <w:rPr>
                <w:sz w:val="22"/>
                <w:szCs w:val="22"/>
              </w:rPr>
              <w:t xml:space="preserve">. </w:t>
            </w:r>
            <w:proofErr w:type="spellStart"/>
            <w:r w:rsidRPr="00174AA4">
              <w:rPr>
                <w:sz w:val="22"/>
                <w:szCs w:val="22"/>
              </w:rPr>
              <w:t>Яново</w:t>
            </w:r>
            <w:proofErr w:type="spellEnd"/>
            <w:r w:rsidRPr="00174AA4">
              <w:rPr>
                <w:sz w:val="22"/>
                <w:szCs w:val="22"/>
              </w:rPr>
              <w:t>, ул. Богушевская, 28. ОСП «Богушевский спиртзавод»</w:t>
            </w:r>
            <w:r w:rsidR="00457614">
              <w:t xml:space="preserve">; </w:t>
            </w:r>
            <w:r w:rsidR="00457614" w:rsidRPr="00F07595">
              <w:t>начальная цена продажи</w:t>
            </w:r>
            <w:r w:rsidR="00457614">
              <w:t xml:space="preserve"> с учетом снижения на 15% – </w:t>
            </w:r>
            <w:r w:rsidR="00457614" w:rsidRPr="00F07595">
              <w:t xml:space="preserve"> </w:t>
            </w:r>
            <w:r w:rsidR="00457614">
              <w:rPr>
                <w:b/>
              </w:rPr>
              <w:t>1632</w:t>
            </w:r>
            <w:r w:rsidR="00457614" w:rsidRPr="00457614">
              <w:rPr>
                <w:b/>
              </w:rPr>
              <w:t>,00</w:t>
            </w:r>
            <w:r w:rsidR="00457614" w:rsidRPr="00F07595">
              <w:t xml:space="preserve"> белорусских рублей (в </w:t>
            </w:r>
            <w:proofErr w:type="spellStart"/>
            <w:r w:rsidR="00457614" w:rsidRPr="00F07595">
              <w:t>т.ч</w:t>
            </w:r>
            <w:proofErr w:type="spellEnd"/>
            <w:r w:rsidR="00457614" w:rsidRPr="00F07595">
              <w:t>. НДС 20%)</w:t>
            </w:r>
            <w:r w:rsidR="00457614">
              <w:t>, сумма задатка 163,20</w:t>
            </w:r>
            <w:r w:rsidR="00457614" w:rsidRPr="00F07595">
              <w:t xml:space="preserve"> белорусских рублей</w:t>
            </w:r>
            <w:r w:rsidR="00457614">
              <w:t>.</w:t>
            </w:r>
          </w:p>
          <w:p w14:paraId="3FC00D1B" w14:textId="4988F241" w:rsidR="00880B85" w:rsidRPr="00C75457" w:rsidRDefault="00457614" w:rsidP="00140E92">
            <w:pPr>
              <w:tabs>
                <w:tab w:val="left" w:pos="0"/>
              </w:tabs>
              <w:jc w:val="both"/>
            </w:pPr>
            <w:r w:rsidRPr="00FD556E">
              <w:rPr>
                <w:b/>
              </w:rPr>
              <w:t xml:space="preserve">Лот </w:t>
            </w:r>
            <w:r>
              <w:rPr>
                <w:b/>
              </w:rPr>
              <w:t xml:space="preserve">6: </w:t>
            </w:r>
            <w:r w:rsidRPr="00043993">
              <w:t xml:space="preserve">Грузовой специальный фургон изотермический MAZ 5336 АЗ-341 АФИК «ЛЮБАВА» рег. знак АЕ 6667-2, номер кузова Y39533600B0007179; Y3M5336A3B0001334, 2011 </w:t>
            </w:r>
            <w:proofErr w:type="spellStart"/>
            <w:r w:rsidRPr="00043993">
              <w:t>г.в</w:t>
            </w:r>
            <w:proofErr w:type="spellEnd"/>
            <w:r w:rsidRPr="00043993">
              <w:t>., цвет –белый, инв. №2441, расположен по адресу: г. Витебск, ул. Революционная, 45</w:t>
            </w:r>
            <w:r>
              <w:t xml:space="preserve">; </w:t>
            </w:r>
            <w:r w:rsidRPr="00F07595">
              <w:t>начальная цена продажи</w:t>
            </w:r>
            <w:r>
              <w:t xml:space="preserve"> с учетом снижения на 15% – </w:t>
            </w:r>
            <w:r w:rsidRPr="00F07595">
              <w:t xml:space="preserve"> </w:t>
            </w:r>
            <w:r>
              <w:rPr>
                <w:b/>
              </w:rPr>
              <w:t>23154</w:t>
            </w:r>
            <w:r w:rsidRPr="00457614">
              <w:rPr>
                <w:b/>
              </w:rPr>
              <w:t>,00</w:t>
            </w:r>
            <w:r w:rsidRPr="00F07595">
              <w:t xml:space="preserve"> белорусских рублей (в </w:t>
            </w:r>
            <w:proofErr w:type="spellStart"/>
            <w:r w:rsidRPr="00F07595">
              <w:t>т.ч</w:t>
            </w:r>
            <w:proofErr w:type="spellEnd"/>
            <w:r w:rsidRPr="00F07595">
              <w:t>. НДС 20%)</w:t>
            </w:r>
            <w:r>
              <w:t>, сумма задатка 2315,40</w:t>
            </w:r>
            <w:r w:rsidRPr="00F07595">
              <w:t xml:space="preserve"> белорусских рублей</w:t>
            </w:r>
            <w:r>
              <w:t>.</w:t>
            </w:r>
          </w:p>
        </w:tc>
      </w:tr>
      <w:tr w:rsidR="00FF4E18" w:rsidRPr="00C75457" w14:paraId="15D42359" w14:textId="77777777" w:rsidTr="00457614">
        <w:trPr>
          <w:gridAfter w:val="1"/>
          <w:wAfter w:w="142" w:type="dxa"/>
          <w:trHeight w:val="5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36B37582" w:rsidR="00FF4E18" w:rsidRPr="00474C20" w:rsidRDefault="00FF4E18" w:rsidP="00FD556E">
            <w:r w:rsidRPr="00474C20">
              <w:t>От 5 до 15 % устанавливается комиссией и объявляется участникам до проведения торгов</w:t>
            </w:r>
          </w:p>
        </w:tc>
      </w:tr>
      <w:tr w:rsidR="00FF4E18" w:rsidRPr="00C75457" w14:paraId="52EFB58C" w14:textId="77777777" w:rsidTr="00C75457">
        <w:trPr>
          <w:gridAfter w:val="1"/>
          <w:wAfter w:w="142" w:type="dxa"/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8C9164" w14:textId="77777777" w:rsidR="006D5E01" w:rsidRPr="00474C20" w:rsidRDefault="006D5E01" w:rsidP="006D5E01">
            <w:pPr>
              <w:pStyle w:val="newncpi"/>
              <w:ind w:firstLine="0"/>
            </w:pPr>
            <w:r w:rsidRPr="00474C20">
              <w:t xml:space="preserve">р/с BY85BAPB30127802900100000000 </w:t>
            </w:r>
          </w:p>
          <w:p w14:paraId="521A3853" w14:textId="07B2686C" w:rsidR="00FF4E18" w:rsidRPr="00474C20" w:rsidRDefault="006D5E01" w:rsidP="006D5E01">
            <w:pPr>
              <w:rPr>
                <w:iCs/>
              </w:rPr>
            </w:pPr>
            <w:r w:rsidRPr="00474C20">
              <w:t>ОАО «</w:t>
            </w:r>
            <w:proofErr w:type="spellStart"/>
            <w:r w:rsidRPr="00474C20">
              <w:t>Белагропромбанк</w:t>
            </w:r>
            <w:proofErr w:type="spellEnd"/>
            <w:r w:rsidRPr="00474C20"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457614">
        <w:trPr>
          <w:gridAfter w:val="1"/>
          <w:wAfter w:w="142" w:type="dxa"/>
          <w:trHeight w:val="15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408A12D8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880B85">
              <w:t>30.12</w:t>
            </w:r>
            <w:r w:rsidR="00A20A71">
              <w:t>.2024</w:t>
            </w:r>
            <w:r w:rsidR="000A1EA9" w:rsidRPr="00C75457">
              <w:t xml:space="preserve"> до 12.00</w:t>
            </w:r>
            <w:r w:rsidRPr="00C75457">
              <w:t xml:space="preserve"> по адресу: Витебск, ул. Свидинского, 4. </w:t>
            </w:r>
          </w:p>
          <w:p w14:paraId="10E05460" w14:textId="55945654" w:rsidR="00FF4E18" w:rsidRPr="00C75457" w:rsidRDefault="00FF4E18" w:rsidP="00B305B2">
            <w:pPr>
              <w:jc w:val="both"/>
              <w:rPr>
                <w:i/>
                <w:iCs/>
              </w:rPr>
            </w:pPr>
            <w:r w:rsidRPr="00C75457">
              <w:t xml:space="preserve">Заключительная регистрация участников с </w:t>
            </w:r>
            <w:r w:rsidR="00880B85">
              <w:t>13</w:t>
            </w:r>
            <w:r w:rsidRPr="00C75457">
              <w:t>.30 до 1</w:t>
            </w:r>
            <w:r w:rsidR="00880B85">
              <w:t>4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457614">
        <w:trPr>
          <w:gridAfter w:val="1"/>
          <w:wAfter w:w="142" w:type="dxa"/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6BF31B" w14:textId="77777777" w:rsidR="00411361" w:rsidRDefault="00411361" w:rsidP="00411361">
            <w:r w:rsidRPr="001D4C8C">
              <w:t>Открытое акционерное общество «Витебский ликеро-водочный завод «</w:t>
            </w:r>
            <w:proofErr w:type="spellStart"/>
            <w:r w:rsidRPr="001D4C8C">
              <w:t>Придвинье</w:t>
            </w:r>
            <w:proofErr w:type="spellEnd"/>
            <w:r w:rsidRPr="001D4C8C">
              <w:t xml:space="preserve">», 210001, г. Витебск, ул. Революционная, 45, </w:t>
            </w:r>
          </w:p>
          <w:p w14:paraId="0E68CD1F" w14:textId="77777777" w:rsidR="00453E84" w:rsidRDefault="00411361" w:rsidP="00453E84">
            <w:pPr>
              <w:pStyle w:val="af0"/>
              <w:tabs>
                <w:tab w:val="left" w:pos="0"/>
              </w:tabs>
              <w:ind w:left="0"/>
              <w:jc w:val="both"/>
            </w:pPr>
            <w:r w:rsidRPr="001D4C8C">
              <w:t>УНП 300200531, тел. 8 0212 33-15-90</w:t>
            </w:r>
            <w:r w:rsidR="00140E92">
              <w:t xml:space="preserve">. </w:t>
            </w:r>
          </w:p>
          <w:p w14:paraId="6307923F" w14:textId="77777777" w:rsidR="00140E92" w:rsidRDefault="00453E84" w:rsidP="00880B85">
            <w:pPr>
              <w:pStyle w:val="af0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>
              <w:t>Д</w:t>
            </w:r>
            <w:r w:rsidR="00880B85">
              <w:t>ля осмотра объектов</w:t>
            </w:r>
            <w:r w:rsidR="00140E92">
              <w:t xml:space="preserve"> в </w:t>
            </w:r>
            <w:proofErr w:type="spellStart"/>
            <w:r w:rsidR="00140E92" w:rsidRPr="00140E92">
              <w:t>аг</w:t>
            </w:r>
            <w:proofErr w:type="spellEnd"/>
            <w:r w:rsidR="00140E92" w:rsidRPr="00140E92">
              <w:t xml:space="preserve">. </w:t>
            </w:r>
            <w:proofErr w:type="spellStart"/>
            <w:r w:rsidR="00140E92" w:rsidRPr="00140E92">
              <w:t>Яново</w:t>
            </w:r>
            <w:proofErr w:type="spellEnd"/>
            <w:r>
              <w:t xml:space="preserve">: тел. </w:t>
            </w:r>
            <w:r w:rsidRPr="00174AA4">
              <w:rPr>
                <w:sz w:val="22"/>
                <w:szCs w:val="22"/>
              </w:rPr>
              <w:t xml:space="preserve">33 6122007 </w:t>
            </w:r>
            <w:proofErr w:type="spellStart"/>
            <w:r w:rsidRPr="00174AA4">
              <w:rPr>
                <w:sz w:val="22"/>
                <w:szCs w:val="22"/>
              </w:rPr>
              <w:t>Руммо</w:t>
            </w:r>
            <w:proofErr w:type="spellEnd"/>
            <w:r w:rsidRPr="00174AA4">
              <w:rPr>
                <w:sz w:val="22"/>
                <w:szCs w:val="22"/>
              </w:rPr>
              <w:t xml:space="preserve"> Валерий Владимирович</w:t>
            </w:r>
          </w:p>
          <w:p w14:paraId="31723E67" w14:textId="74CAF6E3" w:rsidR="00880B85" w:rsidRPr="00880B85" w:rsidRDefault="00880B85" w:rsidP="00880B85">
            <w:pPr>
              <w:pStyle w:val="af0"/>
              <w:tabs>
                <w:tab w:val="left" w:pos="0"/>
              </w:tabs>
              <w:ind w:left="0"/>
              <w:jc w:val="both"/>
              <w:rPr>
                <w:sz w:val="22"/>
                <w:szCs w:val="22"/>
              </w:rPr>
            </w:pPr>
            <w:r w:rsidRPr="00392E1A">
              <w:t>Для осмотра объекта в г. Витебске: Исаенко Андрей Николаевич тел. 33 3998206</w:t>
            </w:r>
          </w:p>
        </w:tc>
      </w:tr>
      <w:tr w:rsidR="00FF4E18" w:rsidRPr="00C75457" w14:paraId="7DEB70EA" w14:textId="77777777" w:rsidTr="00140E92">
        <w:trPr>
          <w:gridAfter w:val="1"/>
          <w:wAfter w:w="142" w:type="dxa"/>
          <w:trHeight w:val="15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lastRenderedPageBreak/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852F3" w14:textId="55B21212" w:rsidR="00FF4E18" w:rsidRPr="00C75457" w:rsidRDefault="00FF4E18" w:rsidP="00FF4E18">
            <w:pPr>
              <w:ind w:right="34"/>
              <w:jc w:val="both"/>
            </w:pPr>
            <w:r w:rsidRPr="00C75457">
              <w:t>Витебский филиал РУП «Институт недвижимости и оценки», г. Витебск                         ул. Свидинского, 4, 210016, тел. 8 0212 366-366, 365-365- 365-495, 29 591 00 02, 29 384 24 05</w:t>
            </w:r>
          </w:p>
          <w:p w14:paraId="1FD30820" w14:textId="371722B1" w:rsidR="00C75457" w:rsidRPr="00C75457" w:rsidRDefault="00FF4E18" w:rsidP="00AE68DD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</w:t>
            </w:r>
            <w:r w:rsidR="00AE68DD">
              <w:rPr>
                <w:b/>
                <w:bCs/>
              </w:rPr>
              <w:t>й</w:t>
            </w:r>
            <w:r w:rsidRPr="00C75457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5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6D5E01">
        <w:trPr>
          <w:gridAfter w:val="1"/>
          <w:wAfter w:w="142" w:type="dxa"/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654623D" w:rsidR="00FF4E18" w:rsidRPr="00C75457" w:rsidRDefault="00FF4E18" w:rsidP="006D5E01">
            <w:r w:rsidRPr="00C75457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22B5876C" w:rsidR="00FF4E18" w:rsidRPr="00474C20" w:rsidRDefault="00411361" w:rsidP="00865B9A">
            <w:pPr>
              <w:ind w:right="34"/>
              <w:jc w:val="both"/>
            </w:pPr>
            <w:r w:rsidRPr="00474C20">
              <w:t>10 календарных</w:t>
            </w:r>
            <w:r w:rsidR="004503E8" w:rsidRPr="00474C20">
              <w:t xml:space="preserve"> дней с даты проведения аукциона</w:t>
            </w:r>
          </w:p>
        </w:tc>
      </w:tr>
      <w:tr w:rsidR="00FF4E18" w:rsidRPr="00C75457" w14:paraId="6A21B41A" w14:textId="77777777" w:rsidTr="00140E92">
        <w:trPr>
          <w:gridAfter w:val="1"/>
          <w:wAfter w:w="142" w:type="dxa"/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1E49A51D" w:rsidR="00FF4E18" w:rsidRPr="00474C20" w:rsidRDefault="00065F56" w:rsidP="006D5E01">
            <w:pPr>
              <w:ind w:right="34"/>
              <w:jc w:val="both"/>
            </w:pPr>
            <w:r w:rsidRPr="00474C20">
              <w:t>10</w:t>
            </w:r>
            <w:r w:rsidR="00411361" w:rsidRPr="00474C20">
              <w:t xml:space="preserve"> календарных</w:t>
            </w:r>
            <w:r w:rsidR="004503E8" w:rsidRPr="00474C20">
              <w:t xml:space="preserve"> дней с даты заключения договора купли-продажи</w:t>
            </w:r>
          </w:p>
        </w:tc>
      </w:tr>
      <w:tr w:rsidR="00FF4E18" w:rsidRPr="00C75457" w14:paraId="36F2690F" w14:textId="77777777" w:rsidTr="00140E92">
        <w:trPr>
          <w:gridAfter w:val="1"/>
          <w:wAfter w:w="142" w:type="dxa"/>
          <w:trHeight w:val="5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32486206" w:rsidR="00865B9A" w:rsidRPr="00C75457" w:rsidRDefault="00865B9A" w:rsidP="00411361">
            <w:pPr>
              <w:jc w:val="both"/>
              <w:rPr>
                <w:color w:val="FF0000"/>
              </w:rPr>
            </w:pPr>
            <w:r w:rsidRPr="00C75457">
              <w:t xml:space="preserve">        </w:t>
            </w:r>
            <w:r w:rsidR="00411361">
              <w:t>Без условий</w:t>
            </w:r>
          </w:p>
        </w:tc>
      </w:tr>
      <w:tr w:rsidR="006D5E01" w:rsidRPr="00C75457" w14:paraId="4E47185F" w14:textId="77777777" w:rsidTr="00411361">
        <w:trPr>
          <w:gridAfter w:val="1"/>
          <w:wAfter w:w="142" w:type="dxa"/>
          <w:trHeight w:val="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DADD" w14:textId="524076AD" w:rsidR="006D5E01" w:rsidRPr="00C75457" w:rsidRDefault="006D5E01" w:rsidP="006D5E01">
            <w:r w:rsidRPr="0024311F">
              <w:rPr>
                <w:color w:val="000000"/>
              </w:rPr>
              <w:t xml:space="preserve">Фактические затраты по организации и проведению аукциона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1D40AE" w14:textId="61411185" w:rsidR="006D5E01" w:rsidRPr="00C75457" w:rsidRDefault="006D5E01" w:rsidP="006D5E01">
            <w:pPr>
              <w:jc w:val="both"/>
            </w:pPr>
            <w:r w:rsidRPr="0024311F">
              <w:rPr>
                <w:color w:val="000000"/>
              </w:rPr>
              <w:t>Победитель</w:t>
            </w:r>
            <w:r>
              <w:rPr>
                <w:color w:val="000000"/>
              </w:rPr>
              <w:t xml:space="preserve"> аукциона, ед</w:t>
            </w:r>
            <w:r w:rsidRPr="0024311F">
              <w:rPr>
                <w:color w:val="000000"/>
              </w:rPr>
              <w:t xml:space="preserve">инственный участник, выразивший согласие на приобретение имущества возмещает затраты по организации и проведению аукциона, которые сообщаются участникам до начала </w:t>
            </w:r>
            <w:r w:rsidR="00140E92">
              <w:rPr>
                <w:color w:val="000000"/>
              </w:rPr>
              <w:t>а</w:t>
            </w:r>
            <w:r w:rsidRPr="0024311F">
              <w:rPr>
                <w:color w:val="000000"/>
              </w:rPr>
              <w:t>укциона и подлежат уплате в течение 3 рабочих дней с даты проведения аукциона</w:t>
            </w:r>
          </w:p>
        </w:tc>
      </w:tr>
      <w:tr w:rsidR="006D5E01" w:rsidRPr="005643AF" w14:paraId="0FBD7BC9" w14:textId="77777777" w:rsidTr="00411361">
        <w:trPr>
          <w:gridAfter w:val="1"/>
          <w:wAfter w:w="142" w:type="dxa"/>
          <w:trHeight w:val="139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14C4938B" w:rsidR="006D5E01" w:rsidRPr="005377E0" w:rsidRDefault="006D5E01" w:rsidP="006D5E01">
            <w:pPr>
              <w:ind w:firstLine="708"/>
              <w:jc w:val="both"/>
            </w:pPr>
            <w:r w:rsidRPr="00DF63A4">
              <w:rPr>
                <w:color w:val="000000"/>
                <w:spacing w:val="-5"/>
              </w:rPr>
              <w:t>Аукцион проводится в соответствии с законодательством Республики Беларусь</w:t>
            </w:r>
            <w:r>
              <w:rPr>
                <w:color w:val="000000"/>
                <w:spacing w:val="-5"/>
              </w:rPr>
              <w:t>:</w:t>
            </w:r>
            <w:r w:rsidRPr="00DF63A4">
              <w:rPr>
                <w:color w:val="000000"/>
                <w:spacing w:val="-5"/>
              </w:rPr>
              <w:t xml:space="preserve"> Указ Президента Республики Беларусь от 05.05.2009 года № 232,</w:t>
            </w:r>
            <w:r>
              <w:rPr>
                <w:color w:val="000000"/>
                <w:spacing w:val="-5"/>
              </w:rPr>
              <w:t xml:space="preserve"> </w:t>
            </w:r>
            <w:r w:rsidRPr="00DF63A4">
              <w:rPr>
                <w:color w:val="000000"/>
                <w:spacing w:val="-5"/>
              </w:rPr>
              <w:t xml:space="preserve">ст. 417-419 Гражданского кодекса Республики Беларусь, </w:t>
            </w:r>
            <w:bookmarkStart w:id="0" w:name="_GoBack"/>
            <w:r w:rsidR="005377E0" w:rsidRPr="00CE58CD">
              <w:t>Регламентом о порядке организации и проведения аукционов РУП «Институт недвижимости и оценки» от 29.07.2024</w:t>
            </w:r>
            <w:bookmarkEnd w:id="0"/>
            <w:r>
              <w:rPr>
                <w:color w:val="000000"/>
                <w:spacing w:val="-5"/>
              </w:rPr>
              <w:t xml:space="preserve">. </w:t>
            </w:r>
            <w:r w:rsidR="005377E0" w:rsidRPr="00CE58CD">
              <w:t>Официальное извещение опубликовано в газете «</w:t>
            </w:r>
            <w:proofErr w:type="spellStart"/>
            <w:r w:rsidR="005377E0" w:rsidRPr="00CE58CD">
              <w:t>Рэспубл</w:t>
            </w:r>
            <w:r w:rsidR="005377E0" w:rsidRPr="00CE58CD">
              <w:rPr>
                <w:lang w:val="en-US"/>
              </w:rPr>
              <w:t>i</w:t>
            </w:r>
            <w:proofErr w:type="spellEnd"/>
            <w:r w:rsidR="005377E0" w:rsidRPr="00CE58CD">
              <w:t>ка»,</w:t>
            </w:r>
            <w:r w:rsidR="005377E0">
              <w:t xml:space="preserve"> </w:t>
            </w:r>
            <w:r>
              <w:t xml:space="preserve">на сайте Витебского облисполкома </w:t>
            </w:r>
            <w:hyperlink r:id="rId6" w:history="1">
              <w:r w:rsidRPr="00D738C1">
                <w:t>www.vitebsk-region.gov.by</w:t>
              </w:r>
            </w:hyperlink>
            <w:r w:rsidRPr="00677335">
              <w:t>.</w:t>
            </w:r>
          </w:p>
        </w:tc>
      </w:tr>
      <w:tr w:rsidR="006D5E01" w:rsidRPr="00C75457" w14:paraId="5BECDA19" w14:textId="77777777" w:rsidTr="008C300E">
        <w:trPr>
          <w:gridAfter w:val="1"/>
          <w:wAfter w:w="142" w:type="dxa"/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6D5E01" w:rsidRPr="00C75457" w:rsidRDefault="006D5E01" w:rsidP="006D5E01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6D5E01" w:rsidRPr="00C75457" w14:paraId="7372F30D" w14:textId="77777777" w:rsidTr="008C300E">
        <w:trPr>
          <w:gridAfter w:val="1"/>
          <w:wAfter w:w="142" w:type="dxa"/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7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6D5E01" w:rsidRPr="00C75457" w:rsidRDefault="006D5E01" w:rsidP="006D5E01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lastRenderedPageBreak/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6D5E01" w:rsidRPr="00C75457" w:rsidRDefault="006D5E01" w:rsidP="006D5E01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6D5E01" w:rsidRPr="00C75457" w:rsidRDefault="006D5E01" w:rsidP="006D5E01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6D5E01" w:rsidRPr="00C75457" w:rsidRDefault="006D5E01" w:rsidP="006D5E01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6D5E01" w:rsidRDefault="006D5E01" w:rsidP="006D5E01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6D5E01" w:rsidRPr="00C75457" w:rsidRDefault="006D5E01" w:rsidP="006D5E01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  <w:tr w:rsidR="006D5E01" w:rsidRPr="00C75457" w14:paraId="7F4EDCC5" w14:textId="77777777" w:rsidTr="00922C31">
        <w:trPr>
          <w:trHeight w:val="30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E3047" w14:textId="77777777" w:rsidR="006D5E01" w:rsidRPr="00C75457" w:rsidRDefault="006D5E01" w:rsidP="006D5E01">
            <w:pPr>
              <w:ind w:right="34" w:firstLine="606"/>
              <w:jc w:val="center"/>
            </w:pPr>
            <w:r>
              <w:lastRenderedPageBreak/>
              <w:t>Порядок проведения аукциона</w:t>
            </w:r>
          </w:p>
        </w:tc>
      </w:tr>
      <w:tr w:rsidR="006D5E01" w:rsidRPr="00C75457" w14:paraId="38FD64EE" w14:textId="77777777" w:rsidTr="00922C31">
        <w:trPr>
          <w:trHeight w:val="30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86EA0" w14:textId="77777777" w:rsidR="006D5E01" w:rsidRDefault="006D5E01" w:rsidP="006D5E01">
            <w:pPr>
              <w:ind w:right="34" w:firstLine="606"/>
              <w:jc w:val="both"/>
            </w:pPr>
            <w:r w:rsidRPr="00A929F9">
              <w:t xml:space="preserve">Торги по объекту начинаются с объявления аукционистом наименования, начальной цены объекта, условий, с которыми продается данный объект. Выигравшим торги на аукционе признается лицо, предложившее наиболее высокую цену. Торги, в которых участвовал только один участник, признаются несостоявшимися.     </w:t>
            </w:r>
          </w:p>
          <w:p w14:paraId="1A38A9BF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В процессе торгов аукционист называет цену, а участник сигнализирует о готовности купить объект по данной цене поднятием номера.</w:t>
            </w:r>
            <w:r>
              <w:t xml:space="preserve"> </w:t>
            </w:r>
            <w:r w:rsidRPr="00A929F9">
              <w:t xml:space="preserve">Если два и более участника аукциона согласились с объявленной аукционистом ценой, но ни один из них не согласился со следующей объявленной ценой, аукционист предлагает участникам аукциона объявить свою цену, которая должна быть выше последней цены, с которой согласились участники аукциона. После объявления участником аукциона своей цены аукционист называет аукционный номер этого участника и предложенную им цену. При этом предложенная участником аукциона цена, равная цене, предложенной другим участником аукциона, не принимается. </w:t>
            </w:r>
          </w:p>
          <w:p w14:paraId="0AD4D204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Участники аукциона объявляют свою цену до тех пор, пока не останется только один участник, предложивший наиболее высокую цену.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- объявляет победителем аукциона. </w:t>
            </w:r>
          </w:p>
          <w:p w14:paraId="21899DD3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Если после предложения аукциониста участникам аукциона объявить свою цену только один из участников объявит свою цену, аукционист называет аукционный номер этого участника, трижды предложенную им цену и при отсутствии предложений иных участников аукциона объявляет о продаже объекта, а участника аукциона – победителем в отношении данного объекта. </w:t>
            </w:r>
          </w:p>
          <w:p w14:paraId="37786E3C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Если ни один из участников аукциона не предложил свою цену, аукцион признается нерезультативным.</w:t>
            </w:r>
          </w:p>
          <w:p w14:paraId="2229D1AF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>При   отсутствии   участников   аукциона, готовых купить объект по названной аукционистом стартовой цене, аукционист называет эту цену три раза.  Данный объект снимается с торгов, о чем составляется соответствующий протокол.</w:t>
            </w:r>
          </w:p>
          <w:p w14:paraId="395DF0E7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lastRenderedPageBreak/>
              <w:t>Лицо, выигравшее торги, обязано:</w:t>
            </w:r>
          </w:p>
          <w:p w14:paraId="63EFAEF3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После   окончания   аукциона подписать   протокол   о его результатах. Протокол составляется в 3-х экземплярах:  </w:t>
            </w:r>
          </w:p>
          <w:p w14:paraId="7D1782BB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- первый передается Продавцу; </w:t>
            </w:r>
          </w:p>
          <w:p w14:paraId="09FF33B4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- второй передается Организатору торгов; </w:t>
            </w:r>
          </w:p>
          <w:p w14:paraId="1E6F25EF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- третий - лицу, выигравшему публичные торги  </w:t>
            </w:r>
          </w:p>
          <w:p w14:paraId="290EF560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Победитель аукциона обязан оплатить Организатору аукциона фактические затраты по организации и проведению аукциона в течение 3-х банковских дней со дня проведения торгов. </w:t>
            </w:r>
          </w:p>
          <w:p w14:paraId="3DE83C84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Сумма задатка Победителя аукциона учитывается в счет оплаты объекта.      </w:t>
            </w:r>
          </w:p>
          <w:p w14:paraId="1166693A" w14:textId="77777777" w:rsidR="006D5E01" w:rsidRPr="00A929F9" w:rsidRDefault="006D5E01" w:rsidP="006D5E01">
            <w:pPr>
              <w:ind w:right="34" w:firstLine="606"/>
              <w:jc w:val="both"/>
            </w:pPr>
            <w:r w:rsidRPr="00A929F9">
              <w:t xml:space="preserve">Лицо, выигравшее торги, при уклонении от подписания протокола о результатах аукциона утрачивает внесенный им задаток. </w:t>
            </w:r>
          </w:p>
          <w:p w14:paraId="20DF7E4F" w14:textId="0B30A76C" w:rsidR="006D5E01" w:rsidRPr="00C75457" w:rsidRDefault="006D5E01" w:rsidP="006D5E01">
            <w:pPr>
              <w:ind w:right="34" w:firstLine="606"/>
              <w:jc w:val="both"/>
            </w:pPr>
            <w:r w:rsidRPr="00A929F9">
              <w:t>В случае если Участник не станет победителем аукциона, задаток ему возвращается в течение 5 рабочих дней со дня проведения аукциона при условии предоставления расчетного счета для перечисления денежных средств.</w:t>
            </w:r>
          </w:p>
        </w:tc>
      </w:tr>
    </w:tbl>
    <w:p w14:paraId="6C15DC32" w14:textId="77777777" w:rsidR="00FD556E" w:rsidRPr="00C75457" w:rsidRDefault="00FD556E" w:rsidP="00FD556E">
      <w:pPr>
        <w:jc w:val="center"/>
      </w:pPr>
    </w:p>
    <w:p w14:paraId="1DAD4CEC" w14:textId="77777777" w:rsidR="00FD556E" w:rsidRPr="00DF63A4" w:rsidRDefault="00FD556E" w:rsidP="00FD556E">
      <w:pPr>
        <w:jc w:val="center"/>
      </w:pPr>
    </w:p>
    <w:p w14:paraId="1C6CBCCC" w14:textId="77777777" w:rsidR="00FD556E" w:rsidRPr="00DF63A4" w:rsidRDefault="00FD556E" w:rsidP="00FD556E">
      <w:pPr>
        <w:jc w:val="center"/>
      </w:pPr>
    </w:p>
    <w:p w14:paraId="1BE32F23" w14:textId="77777777" w:rsidR="00633767" w:rsidRPr="00C75457" w:rsidRDefault="00633767" w:rsidP="00633767">
      <w:pPr>
        <w:jc w:val="center"/>
      </w:pPr>
    </w:p>
    <w:p w14:paraId="75941D77" w14:textId="77777777" w:rsidR="00633767" w:rsidRPr="00C75457" w:rsidRDefault="00633767" w:rsidP="00633767">
      <w:pPr>
        <w:jc w:val="center"/>
      </w:pPr>
    </w:p>
    <w:p w14:paraId="4E3B5092" w14:textId="77777777" w:rsidR="00633767" w:rsidRPr="00C75457" w:rsidRDefault="00633767" w:rsidP="00633767">
      <w:pPr>
        <w:jc w:val="center"/>
      </w:pPr>
    </w:p>
    <w:p w14:paraId="33A38020" w14:textId="77777777" w:rsidR="00DC72D4" w:rsidRPr="00C75457" w:rsidRDefault="00DC72D4" w:rsidP="00633767"/>
    <w:sectPr w:rsidR="00DC72D4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1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7EA3"/>
    <w:rsid w:val="000620EB"/>
    <w:rsid w:val="0006333F"/>
    <w:rsid w:val="00065F56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5C1"/>
    <w:rsid w:val="00133896"/>
    <w:rsid w:val="0013770F"/>
    <w:rsid w:val="00140C2A"/>
    <w:rsid w:val="00140E9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478F2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C04CC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40379"/>
    <w:rsid w:val="00441E41"/>
    <w:rsid w:val="00443E3C"/>
    <w:rsid w:val="004503E8"/>
    <w:rsid w:val="00452F56"/>
    <w:rsid w:val="00453E84"/>
    <w:rsid w:val="004571F7"/>
    <w:rsid w:val="00457614"/>
    <w:rsid w:val="004577F0"/>
    <w:rsid w:val="00457811"/>
    <w:rsid w:val="00461751"/>
    <w:rsid w:val="00462ADD"/>
    <w:rsid w:val="00467C0C"/>
    <w:rsid w:val="004717C5"/>
    <w:rsid w:val="00472042"/>
    <w:rsid w:val="004730A3"/>
    <w:rsid w:val="00474C20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4ABB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377E0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738BC"/>
    <w:rsid w:val="00581566"/>
    <w:rsid w:val="0058215F"/>
    <w:rsid w:val="00585A9D"/>
    <w:rsid w:val="00586057"/>
    <w:rsid w:val="00594C25"/>
    <w:rsid w:val="005A21D3"/>
    <w:rsid w:val="005A3CAC"/>
    <w:rsid w:val="005D196A"/>
    <w:rsid w:val="005D1A2C"/>
    <w:rsid w:val="005E0C3C"/>
    <w:rsid w:val="005E0D97"/>
    <w:rsid w:val="005E4D70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D5E01"/>
    <w:rsid w:val="006E0A68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27E81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0B85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4C00"/>
    <w:rsid w:val="00976424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5488"/>
    <w:rsid w:val="009F7A96"/>
    <w:rsid w:val="00A00961"/>
    <w:rsid w:val="00A033C6"/>
    <w:rsid w:val="00A05BA5"/>
    <w:rsid w:val="00A06BDA"/>
    <w:rsid w:val="00A15830"/>
    <w:rsid w:val="00A20A71"/>
    <w:rsid w:val="00A21465"/>
    <w:rsid w:val="00A226E3"/>
    <w:rsid w:val="00A226FC"/>
    <w:rsid w:val="00A3493E"/>
    <w:rsid w:val="00A360F8"/>
    <w:rsid w:val="00A404E7"/>
    <w:rsid w:val="00A46356"/>
    <w:rsid w:val="00A51F5C"/>
    <w:rsid w:val="00A546F2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E006C"/>
    <w:rsid w:val="00AE0B69"/>
    <w:rsid w:val="00AE68DD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83E63"/>
    <w:rsid w:val="00B953F0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D43DE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738C1"/>
    <w:rsid w:val="00D92077"/>
    <w:rsid w:val="00D96A87"/>
    <w:rsid w:val="00DA55F3"/>
    <w:rsid w:val="00DA698E"/>
    <w:rsid w:val="00DA6BC7"/>
    <w:rsid w:val="00DB6298"/>
    <w:rsid w:val="00DC72D4"/>
    <w:rsid w:val="00DD0D8E"/>
    <w:rsid w:val="00DD468D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431D"/>
    <w:rsid w:val="00FD5248"/>
    <w:rsid w:val="00FD556E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FD556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D5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ebsk-region.gov.by" TargetMode="External"/><Relationship Id="rId5" Type="http://schemas.openxmlformats.org/officeDocument/2006/relationships/hyperlink" Target="mailto:vitebsk@ino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1579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12502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3</cp:revision>
  <cp:lastPrinted>2024-12-13T10:27:00Z</cp:lastPrinted>
  <dcterms:created xsi:type="dcterms:W3CDTF">2024-12-13T10:13:00Z</dcterms:created>
  <dcterms:modified xsi:type="dcterms:W3CDTF">2024-12-13T10:31:00Z</dcterms:modified>
</cp:coreProperties>
</file>